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417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50"/>
        <w:gridCol w:w="1519"/>
        <w:gridCol w:w="3731"/>
        <w:gridCol w:w="2183"/>
        <w:gridCol w:w="2183"/>
        <w:gridCol w:w="2183"/>
        <w:gridCol w:w="12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360" w:hRule="atLeast"/>
        </w:trPr>
        <w:tc>
          <w:tcPr>
            <w:tcW w:w="14174" w:type="dxa"/>
            <w:gridSpan w:val="7"/>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left="1440" w:hanging="1920" w:hangingChars="600"/>
              <w:jc w:val="both"/>
              <w:textAlignment w:val="center"/>
              <w:rPr>
                <w:rFonts w:hint="eastAsia" w:ascii="黑体" w:hAnsi="黑体" w:eastAsia="黑体" w:cs="黑体"/>
                <w:i w:val="0"/>
                <w:iCs w:val="0"/>
                <w:color w:val="000000"/>
                <w:kern w:val="0"/>
                <w:sz w:val="32"/>
                <w:szCs w:val="32"/>
                <w:u w:val="none"/>
                <w:lang w:val="en-US" w:eastAsia="zh-CN" w:bidi="ar"/>
              </w:rPr>
            </w:pPr>
            <w:bookmarkStart w:id="0" w:name="_GoBack"/>
            <w:bookmarkEnd w:id="0"/>
            <w:r>
              <w:rPr>
                <w:rFonts w:hint="eastAsia" w:ascii="黑体" w:hAnsi="黑体" w:eastAsia="黑体" w:cs="黑体"/>
                <w:i w:val="0"/>
                <w:iCs w:val="0"/>
                <w:color w:val="000000"/>
                <w:kern w:val="0"/>
                <w:sz w:val="32"/>
                <w:szCs w:val="32"/>
                <w:u w:val="none"/>
                <w:lang w:val="en-US" w:eastAsia="zh-CN" w:bidi="ar"/>
              </w:rPr>
              <w:t>附件2</w:t>
            </w:r>
          </w:p>
          <w:p>
            <w:pPr>
              <w:keepNext w:val="0"/>
              <w:keepLines w:val="0"/>
              <w:pageBreakBefore w:val="0"/>
              <w:widowControl/>
              <w:suppressLineNumbers w:val="0"/>
              <w:kinsoku/>
              <w:wordWrap/>
              <w:overflowPunct/>
              <w:topLinePunct w:val="0"/>
              <w:autoSpaceDE/>
              <w:autoSpaceDN/>
              <w:bidi w:val="0"/>
              <w:adjustRightInd/>
              <w:snapToGrid/>
              <w:spacing w:line="240" w:lineRule="auto"/>
              <w:ind w:left="2634" w:leftChars="548" w:hanging="880" w:hangingChars="200"/>
              <w:jc w:val="both"/>
              <w:textAlignment w:val="center"/>
              <w:rPr>
                <w:rFonts w:ascii="仿宋_GB2312" w:hAnsi="宋体" w:eastAsia="仿宋_GB2312" w:cs="仿宋_GB2312"/>
                <w:i w:val="0"/>
                <w:iCs w:val="0"/>
                <w:color w:val="000000"/>
                <w:sz w:val="24"/>
                <w:szCs w:val="24"/>
                <w:u w:val="none"/>
              </w:rPr>
            </w:pPr>
            <w:r>
              <w:rPr>
                <w:rStyle w:val="8"/>
                <w:lang w:val="en-US" w:eastAsia="zh-CN" w:bidi="ar"/>
              </w:rPr>
              <w:t>钦州市推行政务服务便民利民“微改革”工作任务细化表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i w:val="0"/>
                <w:iCs w:val="0"/>
                <w:color w:val="000000"/>
                <w:sz w:val="32"/>
                <w:szCs w:val="32"/>
                <w:u w:val="none"/>
              </w:rPr>
            </w:pPr>
            <w:r>
              <w:rPr>
                <w:rFonts w:hint="eastAsia" w:ascii="黑体" w:hAnsi="黑体" w:eastAsia="黑体" w:cs="黑体"/>
                <w:i w:val="0"/>
                <w:iCs w:val="0"/>
                <w:color w:val="000000"/>
                <w:kern w:val="0"/>
                <w:sz w:val="32"/>
                <w:szCs w:val="32"/>
                <w:u w:val="none"/>
                <w:lang w:val="en-US" w:eastAsia="zh-CN" w:bidi="ar"/>
              </w:rPr>
              <w:t>序号</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i w:val="0"/>
                <w:iCs w:val="0"/>
                <w:color w:val="000000"/>
                <w:sz w:val="32"/>
                <w:szCs w:val="32"/>
                <w:u w:val="none"/>
              </w:rPr>
            </w:pPr>
            <w:r>
              <w:rPr>
                <w:rFonts w:hint="eastAsia" w:ascii="黑体" w:hAnsi="黑体" w:eastAsia="黑体" w:cs="黑体"/>
                <w:i w:val="0"/>
                <w:iCs w:val="0"/>
                <w:color w:val="000000"/>
                <w:kern w:val="0"/>
                <w:sz w:val="32"/>
                <w:szCs w:val="32"/>
                <w:u w:val="none"/>
                <w:lang w:val="en-US" w:eastAsia="zh-CN" w:bidi="ar"/>
              </w:rPr>
              <w:t>工作任务</w:t>
            </w:r>
          </w:p>
        </w:tc>
        <w:tc>
          <w:tcPr>
            <w:tcW w:w="3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i w:val="0"/>
                <w:iCs w:val="0"/>
                <w:color w:val="000000"/>
                <w:sz w:val="32"/>
                <w:szCs w:val="32"/>
                <w:u w:val="none"/>
              </w:rPr>
            </w:pPr>
            <w:r>
              <w:rPr>
                <w:rFonts w:hint="eastAsia" w:ascii="黑体" w:hAnsi="黑体" w:eastAsia="黑体" w:cs="黑体"/>
                <w:i w:val="0"/>
                <w:iCs w:val="0"/>
                <w:color w:val="000000"/>
                <w:kern w:val="0"/>
                <w:sz w:val="32"/>
                <w:szCs w:val="32"/>
                <w:u w:val="none"/>
                <w:lang w:val="en-US" w:eastAsia="zh-CN" w:bidi="ar"/>
              </w:rPr>
              <w:t>主要内容</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i w:val="0"/>
                <w:iCs w:val="0"/>
                <w:color w:val="000000"/>
                <w:sz w:val="32"/>
                <w:szCs w:val="32"/>
                <w:u w:val="none"/>
              </w:rPr>
            </w:pPr>
            <w:r>
              <w:rPr>
                <w:rFonts w:hint="eastAsia" w:ascii="黑体" w:hAnsi="黑体" w:eastAsia="黑体" w:cs="黑体"/>
                <w:i w:val="0"/>
                <w:iCs w:val="0"/>
                <w:color w:val="000000"/>
                <w:kern w:val="0"/>
                <w:sz w:val="32"/>
                <w:szCs w:val="32"/>
                <w:u w:val="none"/>
                <w:lang w:val="en-US" w:eastAsia="zh-CN" w:bidi="ar"/>
              </w:rPr>
              <w:t>责任单位</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i w:val="0"/>
                <w:iCs w:val="0"/>
                <w:color w:val="000000"/>
                <w:sz w:val="32"/>
                <w:szCs w:val="32"/>
                <w:u w:val="none"/>
              </w:rPr>
            </w:pPr>
            <w:r>
              <w:rPr>
                <w:rFonts w:hint="eastAsia" w:ascii="黑体" w:hAnsi="黑体" w:eastAsia="黑体" w:cs="黑体"/>
                <w:i w:val="0"/>
                <w:iCs w:val="0"/>
                <w:color w:val="000000"/>
                <w:kern w:val="0"/>
                <w:sz w:val="32"/>
                <w:szCs w:val="32"/>
                <w:u w:val="none"/>
                <w:lang w:val="en-US" w:eastAsia="zh-CN" w:bidi="ar"/>
              </w:rPr>
              <w:t>配合单位</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i w:val="0"/>
                <w:iCs w:val="0"/>
                <w:color w:val="000000"/>
                <w:sz w:val="32"/>
                <w:szCs w:val="32"/>
                <w:u w:val="none"/>
              </w:rPr>
            </w:pPr>
            <w:r>
              <w:rPr>
                <w:rFonts w:hint="eastAsia" w:ascii="黑体" w:hAnsi="黑体" w:eastAsia="黑体" w:cs="黑体"/>
                <w:i w:val="0"/>
                <w:iCs w:val="0"/>
                <w:color w:val="000000"/>
                <w:kern w:val="0"/>
                <w:sz w:val="32"/>
                <w:szCs w:val="32"/>
                <w:u w:val="none"/>
                <w:lang w:val="en-US" w:eastAsia="zh-CN" w:bidi="ar"/>
              </w:rPr>
              <w:t>完成时限</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黑体" w:hAnsi="黑体" w:eastAsia="黑体" w:cs="黑体"/>
                <w:i w:val="0"/>
                <w:iCs w:val="0"/>
                <w:color w:val="000000"/>
                <w:sz w:val="32"/>
                <w:szCs w:val="32"/>
                <w:u w:val="none"/>
              </w:rPr>
            </w:pPr>
            <w:r>
              <w:rPr>
                <w:rFonts w:hint="eastAsia" w:ascii="黑体" w:hAnsi="黑体" w:eastAsia="黑体" w:cs="黑体"/>
                <w:i w:val="0"/>
                <w:iCs w:val="0"/>
                <w:color w:val="000000"/>
                <w:kern w:val="0"/>
                <w:sz w:val="32"/>
                <w:szCs w:val="3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0"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推行新设企业“开办即开户”</w:t>
            </w:r>
          </w:p>
        </w:tc>
        <w:tc>
          <w:tcPr>
            <w:tcW w:w="3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推动驻钦各银行机构业务系统与广西数字政务一体化平台、钦州市企业综合服务一网通办平台等系统对接，鼓励银行机构人员进驻市民服务中心，负责企业开户咨询、指导等工作。各县区可根据实际，鼓励银行机构人员进驻本级政务服务实体大厅，提供靠前服务，为企业办理开户手续提供便利，实现“开办即开户”。推行“一窗受理、集成服务”服务模式，实行“一件事”套餐式办理，编制办事服务指南，明确办理流程、申请材料等内容，并在政务服务中心、政府门户网站、微信公众号等进行公布。</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人民银行钦州市中心支行、钦州银保监分局</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市市场监管局、市行政审批局，各县区人民政府</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2021年11月30日前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80"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推行工程建设项目“拿地即开工”</w:t>
            </w:r>
          </w:p>
        </w:tc>
        <w:tc>
          <w:tcPr>
            <w:tcW w:w="3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    对工程建设项目实行分级分类管理，在确保安全前提下，对社会投资小型低风险项目，可采取承诺审批方式，简化办理用地、规划、施工许可审批，推行“拿地即开工”模式。需编制含办理过程、时间、申请材料等重要信息的流程图，在政务服务中心、政府门户网站、微信公众号等进行公布。</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市自然资源局、市住房城乡建设局</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市发展改革委、市城管执法局、市行政审批局，各县区人民政府</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2021年11月30日前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280"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推行新生儿“出生即入户”</w:t>
            </w:r>
          </w:p>
        </w:tc>
        <w:tc>
          <w:tcPr>
            <w:tcW w:w="3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选取条件成熟的助产机构（设有产科的医院）作为试点，在试点医院设置新生儿“出生即入户”专窗，对新生儿出生医学证明、户口登记、医保参保、社保卡申领等事项实行“一件事”套餐式办理，编制办事服务指南，明确办理流程、申请材料等内容，实现新生儿出生即同步办好落户、参保等相关手续。</w:t>
            </w:r>
          </w:p>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 w:hAnsi="仿宋" w:eastAsia="仿宋" w:cs="仿宋"/>
                <w:i w:val="0"/>
                <w:iCs w:val="0"/>
                <w:color w:val="000000"/>
                <w:kern w:val="0"/>
                <w:sz w:val="24"/>
                <w:szCs w:val="24"/>
                <w:u w:val="none"/>
                <w:lang w:val="en-US" w:eastAsia="zh-CN" w:bidi="ar"/>
              </w:rPr>
            </w:pP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市行政审批局、市卫生健康委、市公安局、市人力资源社会保障局、市医保局、市税务局</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各县区人民政府</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2021年11月30日前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710"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推行新建商品房“交房即交证”</w:t>
            </w:r>
          </w:p>
        </w:tc>
        <w:tc>
          <w:tcPr>
            <w:tcW w:w="3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推动“多测合一”工作落实，整合首次登记、转移登记和抵押登记业务流程，实现“交房即交证”。需编制含办理过程、时间、申请材料等重要信息的流程图，在政务服务中心、政府门户网站、微信公众号等进行公布。</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市自然资源局</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市住房城乡建设局、市行政审批局，各县区人民政府</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2021年11月30日前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5"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推进“不动产登记+水电气过户+有线电视过户”“一站式”办理</w:t>
            </w:r>
          </w:p>
        </w:tc>
        <w:tc>
          <w:tcPr>
            <w:tcW w:w="3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将不动产登记与水电气过户、有线电视过户等多个服务事项整合为“一件事”，编制办事服务指南，明确办理流程、申请材料等内容，从申请条件、申报方式、受理模式、审核程序、发证方式、管理架构等方面进行流程再造、实施联动办理，用户办理水电气过户、有线电视过户无须多跑路、登录多平台，可直接实现“一站式”办理。</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市工业和信息化局、市自然资源局、</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市行政审批局、市住房城乡建设局，各县区人民政府</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2021年11月30日前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995"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大力推广智能手机“掌上办”</w:t>
            </w:r>
          </w:p>
        </w:tc>
        <w:tc>
          <w:tcPr>
            <w:tcW w:w="3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推进高频民生事项智能手机“掌上办”。细化审批标准，对于满足条件的事项推行“智能批”。探索和推出老年人等需要特殊关爱群体使用智能手机便捷办事的特色应用。</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市发展改革委（大数据发展局）</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市行政审批局、市各有关单位</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持续推进</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40"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推行电子证照亮证服务</w:t>
            </w:r>
          </w:p>
        </w:tc>
        <w:tc>
          <w:tcPr>
            <w:tcW w:w="3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实现居民身份证、社保卡、国家职业资格证书、电子营业执照等各种电子证照的亮证服务，创建和丰富电子证照应用场景。</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市公安局、市人力资源社会保障局、市市场监管局等市各有关单位</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市发展改革委（大数据发展局）、市行政审批局，各县区人民政府</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2021年11月30日前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40"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深化相对集中行政许可权改革</w:t>
            </w:r>
          </w:p>
        </w:tc>
        <w:tc>
          <w:tcPr>
            <w:tcW w:w="3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出台规范“一枚公章管审批”的政策文件，理顺工作关系，建立健全工作机制，推动政府部门协同联动，提高办事效率。</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市行政审批局、市各有关单位</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灵山县人民政府</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2021年11月30日前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25"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推行简单事项“免证办”</w:t>
            </w:r>
          </w:p>
        </w:tc>
        <w:tc>
          <w:tcPr>
            <w:tcW w:w="3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依托电子证照信息共享，群众和企业通过APP实名认证登录后，出示电子身份信息即可办事。依托自治区数据共享交换平台获取共享数据，推进办事“免填表”“免证办”。</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市发展改革委（大数据发展局）、市行政审批局、市各有关单位</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各县区人民政府</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持续推进</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710"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推行证照批文“免费送”</w:t>
            </w:r>
          </w:p>
        </w:tc>
        <w:tc>
          <w:tcPr>
            <w:tcW w:w="3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在市、县区政务服务中心提供“免费送”服务，对申请人是法人的审批结果形成的纸质证照、批文提供“免费邮寄”服务，通过邮政免费寄递到申请人手里，申请人可以通过窗口、电话、网上申请等方式申请免费邮寄。异地办“免费邮寄”按照《钦州市政务服务“异地办”工作方案》（钦审批发〔2021〕42号）要求执行。</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市行政审批局，各县区人民政府</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市、县区财政局、各有关单位</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2021年11月30日前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710"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推行企业印章“免费刻”</w:t>
            </w:r>
          </w:p>
        </w:tc>
        <w:tc>
          <w:tcPr>
            <w:tcW w:w="3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在全市各政务服务中心提供“免费刻”服务，对新开办企业，提供首套4枚印章（法定名称章、发票专用章、法定代表人名章、财务专用章）免费刻制服务，有条件的增加至5枚（合同专用章）。</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市行政审批局</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市公安局、市财政局、各县区人民政府</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2021年11月30日前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710"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创新推进“跨省通办+”</w:t>
            </w:r>
          </w:p>
        </w:tc>
        <w:tc>
          <w:tcPr>
            <w:tcW w:w="3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加快推进政务服务业务通、系统通、数据通，2021年底前，实现220项高频政务服务事项“跨省通办”。探索推进“跨省通办+套餐服务”“跨省通办+承诺审批”等“跨省通办+”模式，发挥改革政策叠加效应。</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市行政审批局、市各有关单位，自贸区钦州港片区行政审批局</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各县区人民政府</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2021年11月30日前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425"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试点推进“一机通办”服务模式</w:t>
            </w:r>
          </w:p>
        </w:tc>
        <w:tc>
          <w:tcPr>
            <w:tcW w:w="3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试点将简单高频事项纳入智能自助终端，部署于部分银行网点、乡村便民服务点等，为基层提供“7×24小时一站式”服务。</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市财政局（金融办）、市行政审批局、钦州银保监分局</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市各有关单位、各县区人民政府</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2021年11月30日前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20" w:hRule="atLeast"/>
        </w:trPr>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1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推进“一号响应”服务模式</w:t>
            </w:r>
          </w:p>
        </w:tc>
        <w:tc>
          <w:tcPr>
            <w:tcW w:w="3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firstLine="480" w:firstLineChars="20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以一个号码服务企业和群众为目标，推进本地区设立的和国务院有关部门设立并在地方接听的非紧急类政务服务便民热线统一归并到“12345政务服务便民热线”，实现一个号码服务，实行“7×24”小时人工服务，推行接诉即办，探索12345热线与紧急热线、公共事业服务热线联动，完善热线运行机制和管理机制，督促诉求办理单位履职尽责，强化办件督办，加强热线服务能力建设，打造政务服务“总客服”。</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市人民政府办公室</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市各有关单位，各县区人民政府</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2021年11月30日前</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 w:hAnsi="仿宋" w:eastAsia="仿宋" w:cs="仿宋"/>
                <w:i w:val="0"/>
                <w:iCs w:val="0"/>
                <w:color w:val="000000"/>
                <w:sz w:val="24"/>
                <w:szCs w:val="24"/>
                <w:u w:val="none"/>
              </w:rPr>
            </w:pPr>
          </w:p>
        </w:tc>
      </w:tr>
    </w:tbl>
    <w:p>
      <w:pPr>
        <w:rPr>
          <w:rFonts w:hint="eastAsia" w:ascii="仿宋" w:hAnsi="仿宋" w:eastAsia="仿宋" w:cs="仿宋"/>
          <w:sz w:val="44"/>
          <w:szCs w:val="44"/>
        </w:rPr>
      </w:pPr>
    </w:p>
    <w:p>
      <w:pPr>
        <w:spacing w:line="540" w:lineRule="exact"/>
        <w:rPr>
          <w:rFonts w:hint="default" w:ascii="方正黑体_GBK" w:hAnsi="方正黑体_GBK" w:eastAsia="方正黑体_GBK" w:cs="方正黑体_GBK"/>
          <w:sz w:val="28"/>
          <w:szCs w:val="28"/>
          <w:u w:val="single"/>
        </w:rPr>
      </w:pPr>
    </w:p>
    <w:sectPr>
      <w:footerReference r:id="rId3" w:type="default"/>
      <w:pgSz w:w="16838" w:h="11906" w:orient="landscape"/>
      <w:pgMar w:top="1803" w:right="1440" w:bottom="1803" w:left="1440" w:header="851" w:footer="992" w:gutter="0"/>
      <w:pgBorders>
        <w:top w:val="none" w:sz="0" w:space="0"/>
        <w:left w:val="none" w:sz="0" w:space="0"/>
        <w:bottom w:val="none" w:sz="0" w:space="0"/>
        <w:right w:val="none" w:sz="0" w:space="0"/>
      </w:pgBorders>
      <w:pgNumType w:fmt="decimal"/>
      <w:cols w:space="0" w:num="1"/>
      <w:rtlGutter w:val="0"/>
      <w:docGrid w:type="lines" w:linePitch="4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p>
    <w:pPr>
      <w:pStyle w:val="3"/>
      <w:tabs>
        <w:tab w:val="left" w:pos="1083"/>
        <w:tab w:val="clear" w:pos="4153"/>
      </w:tabs>
      <w:rPr>
        <w:rFonts w:hint="default"/>
        <w:lang w:val="en-US"/>
      </w:rPr>
    </w:pPr>
    <w:r>
      <w:rPr>
        <w:lang w:val="en-US"/>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218"/>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3F03C9"/>
    <w:rsid w:val="056928AF"/>
    <w:rsid w:val="07EC0F9C"/>
    <w:rsid w:val="0AE8296F"/>
    <w:rsid w:val="0ED6518A"/>
    <w:rsid w:val="12A926C9"/>
    <w:rsid w:val="153F03C9"/>
    <w:rsid w:val="16856721"/>
    <w:rsid w:val="184C71D5"/>
    <w:rsid w:val="22B309B8"/>
    <w:rsid w:val="23784BA5"/>
    <w:rsid w:val="24470EC2"/>
    <w:rsid w:val="2A925BEB"/>
    <w:rsid w:val="2AE7B348"/>
    <w:rsid w:val="314C6FA6"/>
    <w:rsid w:val="336C6FEB"/>
    <w:rsid w:val="34022E3F"/>
    <w:rsid w:val="3A8C7B6D"/>
    <w:rsid w:val="3AF858B0"/>
    <w:rsid w:val="3CD02DFD"/>
    <w:rsid w:val="3D4E7A4A"/>
    <w:rsid w:val="3D876E0E"/>
    <w:rsid w:val="3EB5383B"/>
    <w:rsid w:val="3EFDDB88"/>
    <w:rsid w:val="3F396B25"/>
    <w:rsid w:val="416F3C81"/>
    <w:rsid w:val="43202B6B"/>
    <w:rsid w:val="43B3462A"/>
    <w:rsid w:val="50180A8D"/>
    <w:rsid w:val="503042E8"/>
    <w:rsid w:val="572F514B"/>
    <w:rsid w:val="5AD80FDA"/>
    <w:rsid w:val="5B7F58F7"/>
    <w:rsid w:val="5D230009"/>
    <w:rsid w:val="5EFBF59D"/>
    <w:rsid w:val="6105405D"/>
    <w:rsid w:val="65331D2E"/>
    <w:rsid w:val="665B4DF6"/>
    <w:rsid w:val="67785487"/>
    <w:rsid w:val="683C2959"/>
    <w:rsid w:val="6C6A70FA"/>
    <w:rsid w:val="6DBFF46A"/>
    <w:rsid w:val="6E092EBD"/>
    <w:rsid w:val="6F487DDE"/>
    <w:rsid w:val="6F910AFB"/>
    <w:rsid w:val="75BC7179"/>
    <w:rsid w:val="778F92E4"/>
    <w:rsid w:val="77FF6237"/>
    <w:rsid w:val="7D750D77"/>
    <w:rsid w:val="7DBB2CFE"/>
    <w:rsid w:val="7DF8BF2C"/>
    <w:rsid w:val="7DFCC5AE"/>
    <w:rsid w:val="7F676BFE"/>
    <w:rsid w:val="7FA747F5"/>
    <w:rsid w:val="7FB72066"/>
    <w:rsid w:val="7FC765AB"/>
    <w:rsid w:val="9E5E7720"/>
    <w:rsid w:val="9FFFE1A9"/>
    <w:rsid w:val="DBFD207E"/>
    <w:rsid w:val="DBFF4938"/>
    <w:rsid w:val="DFDB7589"/>
    <w:rsid w:val="EB6123A4"/>
    <w:rsid w:val="EF373F9D"/>
    <w:rsid w:val="F34BF42D"/>
    <w:rsid w:val="FB7FC899"/>
    <w:rsid w:val="FF962796"/>
    <w:rsid w:val="FFF7C8AA"/>
    <w:rsid w:val="FFFB2AFF"/>
    <w:rsid w:val="FFFFE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60" w:lineRule="exact"/>
      <w:jc w:val="both"/>
    </w:pPr>
    <w:rPr>
      <w:rFonts w:ascii="Times New Roman" w:hAnsi="Times New Roman" w:eastAsia="仿宋_GB2312" w:cs="Times New Roman"/>
      <w:sz w:val="32"/>
      <w:lang w:val="en-US" w:eastAsia="zh-CN"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customStyle="1" w:styleId="2">
    <w:name w:val="正文-公1"/>
    <w:basedOn w:val="1"/>
    <w:qFormat/>
    <w:uiPriority w:val="0"/>
    <w:pPr>
      <w:ind w:firstLine="200"/>
      <w:jc w:val="left"/>
    </w:pPr>
    <w:rPr>
      <w:rFonts w:eastAsia="仿宋_GB2312"/>
    </w:rPr>
  </w:style>
  <w:style w:type="paragraph" w:styleId="3">
    <w:name w:val="footer"/>
    <w:basedOn w:val="1"/>
    <w:qFormat/>
    <w:uiPriority w:val="99"/>
    <w:pPr>
      <w:tabs>
        <w:tab w:val="center" w:pos="4153"/>
        <w:tab w:val="right" w:pos="8306"/>
      </w:tabs>
      <w:snapToGrid w:val="0"/>
      <w:spacing w:line="240" w:lineRule="atLeast"/>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font31"/>
    <w:basedOn w:val="5"/>
    <w:qFormat/>
    <w:uiPriority w:val="0"/>
    <w:rPr>
      <w:rFonts w:ascii="方正小标宋_GBK" w:hAnsi="方正小标宋_GBK" w:eastAsia="方正小标宋_GBK" w:cs="方正小标宋_GBK"/>
      <w:color w:val="000000"/>
      <w:sz w:val="44"/>
      <w:szCs w:val="4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Office_10.1.0.7668_F1E327BC-269C-435d-A152-05C5408002CA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2021-08-24T13:03:00Z</dcterms:created>
  <dc:creator>里进问</dc:creator>
  <cp:lastModifiedBy>admin</cp:lastModifiedBy>
  <cp:lastPrinted>2021-11-04T02:03:00Z</cp:lastPrinted>
  <dcterms:modified xsi:type="dcterms:W3CDTF">2021-11-08T07:10:50Z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y fmtid="{D5CDD505-2E9C-101B-9397-08002B2CF9AE}" pid="3" name="ICV">
    <vt:lpwstr>600221692BC64AAC919285478C76D824</vt:lpwstr>
  </property>
  <property fmtid="{D5CDD505-2E9C-101B-9397-08002B2CF9AE}" pid="4" name="KSOSaveFontToCloudKey">
    <vt:lpwstr>456296754_btnclosed</vt:lpwstr>
  </property>
</Properties>
</file>