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eastAsia" w:ascii="方正黑体_GBK" w:hAnsi="方正黑体_GBK" w:eastAsia="方正黑体_GBK" w:cs="方正黑体_GBK"/>
          <w:b w:val="0"/>
          <w:bCs w:val="0"/>
          <w:color w:val="333333"/>
          <w:kern w:val="0"/>
          <w:sz w:val="32"/>
          <w:szCs w:val="32"/>
          <w:lang w:val="en-US" w:eastAsia="zh-CN"/>
        </w:rPr>
      </w:pPr>
      <w:r>
        <w:rPr>
          <w:rFonts w:hint="eastAsia" w:ascii="方正黑体_GBK" w:hAnsi="方正黑体_GBK" w:eastAsia="方正黑体_GBK" w:cs="方正黑体_GBK"/>
          <w:b w:val="0"/>
          <w:bCs w:val="0"/>
          <w:color w:val="333333"/>
          <w:kern w:val="0"/>
          <w:sz w:val="32"/>
          <w:szCs w:val="32"/>
          <w:lang w:val="en-US" w:eastAsia="zh-CN"/>
        </w:rPr>
        <w:t>附件2</w:t>
      </w:r>
    </w:p>
    <w:p>
      <w:pPr>
        <w:widowControl/>
        <w:shd w:val="clear" w:color="auto" w:fill="FFFFFF"/>
        <w:jc w:val="center"/>
        <w:rPr>
          <w:rFonts w:ascii="宋体" w:eastAsia="宋体" w:cs="宋体"/>
          <w:color w:val="333333"/>
          <w:kern w:val="0"/>
          <w:sz w:val="24"/>
          <w:szCs w:val="24"/>
        </w:rPr>
      </w:pPr>
      <w:r>
        <w:rPr>
          <w:rFonts w:hint="eastAsia" w:ascii="宋体" w:eastAsia="宋体" w:cs="宋体"/>
          <w:b/>
          <w:bCs/>
          <w:color w:val="333333"/>
          <w:kern w:val="0"/>
          <w:sz w:val="36"/>
          <w:szCs w:val="36"/>
        </w:rPr>
        <w:t>国务院关于取消和下放一批</w:t>
      </w:r>
    </w:p>
    <w:p>
      <w:pPr>
        <w:widowControl/>
        <w:shd w:val="clear" w:color="auto" w:fill="FFFFFF"/>
        <w:jc w:val="center"/>
        <w:rPr>
          <w:rFonts w:hint="eastAsia" w:ascii="宋体" w:eastAsia="宋体" w:cs="宋体"/>
          <w:color w:val="333333"/>
          <w:kern w:val="0"/>
          <w:sz w:val="24"/>
          <w:szCs w:val="24"/>
        </w:rPr>
      </w:pPr>
      <w:r>
        <w:rPr>
          <w:rFonts w:hint="eastAsia" w:ascii="宋体" w:eastAsia="宋体" w:cs="宋体"/>
          <w:b/>
          <w:bCs/>
          <w:color w:val="333333"/>
          <w:kern w:val="0"/>
          <w:sz w:val="36"/>
          <w:szCs w:val="36"/>
        </w:rPr>
        <w:t>行政许可事项的决定</w:t>
      </w:r>
    </w:p>
    <w:p>
      <w:pPr>
        <w:widowControl/>
        <w:shd w:val="clear" w:color="auto" w:fill="FFFFFF"/>
        <w:jc w:val="center"/>
        <w:rPr>
          <w:rFonts w:hint="eastAsia" w:ascii="宋体" w:eastAsia="宋体" w:cs="宋体"/>
          <w:color w:val="333333"/>
          <w:kern w:val="0"/>
          <w:sz w:val="24"/>
          <w:szCs w:val="24"/>
        </w:rPr>
      </w:pPr>
      <w:r>
        <w:rPr>
          <w:rFonts w:hint="eastAsia" w:ascii="楷体" w:eastAsia="楷体" w:cs="宋体"/>
          <w:color w:val="333333"/>
          <w:kern w:val="0"/>
          <w:sz w:val="24"/>
          <w:szCs w:val="24"/>
        </w:rPr>
        <w:t>国发〔2020〕13号</w:t>
      </w:r>
    </w:p>
    <w:p>
      <w:pPr>
        <w:widowControl/>
        <w:shd w:val="clear" w:color="auto" w:fill="FFFFFF"/>
        <w:jc w:val="center"/>
        <w:rPr>
          <w:rFonts w:hint="eastAsia" w:ascii="宋体" w:eastAsia="宋体" w:cs="宋体"/>
          <w:color w:val="333333"/>
          <w:kern w:val="0"/>
          <w:sz w:val="24"/>
          <w:szCs w:val="24"/>
        </w:rPr>
      </w:pPr>
    </w:p>
    <w:p>
      <w:pPr>
        <w:widowControl/>
        <w:shd w:val="clear" w:color="auto" w:fill="FFFFFF"/>
        <w:rPr>
          <w:rFonts w:hint="eastAsia" w:ascii="宋体" w:eastAsia="宋体" w:cs="宋体"/>
          <w:color w:val="333333"/>
          <w:kern w:val="0"/>
          <w:sz w:val="24"/>
          <w:szCs w:val="24"/>
        </w:rPr>
      </w:pPr>
      <w:r>
        <w:rPr>
          <w:rFonts w:hint="eastAsia" w:ascii="宋体" w:eastAsia="宋体" w:cs="宋体"/>
          <w:color w:val="333333"/>
          <w:kern w:val="0"/>
          <w:sz w:val="24"/>
          <w:szCs w:val="24"/>
        </w:rPr>
        <w:t>各省、自治区、直辖市人民政府，国务院各部委、各直属机构：</w:t>
      </w:r>
    </w:p>
    <w:p>
      <w:pPr>
        <w:widowControl/>
        <w:shd w:val="clear" w:color="auto" w:fill="FFFFFF"/>
        <w:ind w:firstLine="480"/>
        <w:rPr>
          <w:rFonts w:hint="eastAsia" w:ascii="宋体" w:eastAsia="宋体" w:cs="宋体"/>
          <w:color w:val="333333"/>
          <w:kern w:val="0"/>
          <w:sz w:val="24"/>
          <w:szCs w:val="24"/>
        </w:rPr>
      </w:pPr>
      <w:r>
        <w:rPr>
          <w:rFonts w:hint="eastAsia" w:ascii="宋体" w:eastAsia="宋体" w:cs="宋体"/>
          <w:color w:val="333333"/>
          <w:kern w:val="0"/>
          <w:sz w:val="24"/>
          <w:szCs w:val="24"/>
        </w:rPr>
        <w:t>经研究论证，国务院决定取消29项行政许可事项，下放4项行政许可事项的审批层级，现予公布。另有20项有关法律设定的行政许可事项，国务院将依照法定程序提请全国人民代表大会常务委员会修订相关法律规定。</w:t>
      </w:r>
    </w:p>
    <w:p>
      <w:pPr>
        <w:widowControl/>
        <w:shd w:val="clear" w:color="auto" w:fill="FFFFFF"/>
        <w:ind w:firstLine="480"/>
        <w:rPr>
          <w:rFonts w:hint="eastAsia" w:ascii="宋体" w:eastAsia="宋体" w:cs="宋体"/>
          <w:color w:val="333333"/>
          <w:kern w:val="0"/>
          <w:sz w:val="24"/>
          <w:szCs w:val="24"/>
        </w:rPr>
      </w:pPr>
      <w:r>
        <w:rPr>
          <w:rFonts w:hint="eastAsia" w:ascii="宋体" w:eastAsia="宋体" w:cs="宋体"/>
          <w:color w:val="333333"/>
          <w:kern w:val="0"/>
          <w:sz w:val="24"/>
          <w:szCs w:val="24"/>
        </w:rPr>
        <w:t>各地区、各有关部门要抓紧做好取消和下放行政许可事项的贯彻落实工作，进一步细化改革配套措施，加强和创新事中事后监管，确保放得开、接得住、管得好。自本决定发布之日起20个工作日内，国务院有关部门要向社会公布事中事后监管细则，并加强宣传解读和督促落实。</w:t>
      </w:r>
    </w:p>
    <w:p>
      <w:pPr>
        <w:widowControl/>
        <w:shd w:val="clear" w:color="auto" w:fill="FFFFFF"/>
        <w:ind w:firstLine="480"/>
        <w:rPr>
          <w:rFonts w:hint="eastAsia" w:ascii="宋体" w:eastAsia="宋体" w:cs="宋体"/>
          <w:color w:val="333333"/>
          <w:kern w:val="0"/>
          <w:sz w:val="24"/>
          <w:szCs w:val="24"/>
        </w:rPr>
      </w:pPr>
    </w:p>
    <w:p>
      <w:pPr>
        <w:widowControl/>
        <w:shd w:val="clear" w:color="auto" w:fill="FFFFFF"/>
        <w:ind w:firstLine="480"/>
        <w:rPr>
          <w:rFonts w:hint="eastAsia" w:ascii="宋体" w:eastAsia="宋体" w:cs="宋体"/>
          <w:color w:val="333333"/>
          <w:kern w:val="0"/>
          <w:sz w:val="24"/>
          <w:szCs w:val="24"/>
        </w:rPr>
      </w:pPr>
      <w:r>
        <w:rPr>
          <w:rFonts w:hint="eastAsia" w:ascii="宋体" w:eastAsia="宋体" w:cs="宋体"/>
          <w:color w:val="333333"/>
          <w:kern w:val="0"/>
          <w:sz w:val="24"/>
          <w:szCs w:val="24"/>
        </w:rPr>
        <w:t>附件：1.国务院决定取消的行政许可事项目录（共29项）</w:t>
      </w:r>
    </w:p>
    <w:p>
      <w:pPr>
        <w:widowControl/>
        <w:shd w:val="clear" w:color="auto" w:fill="FFFFFF"/>
        <w:ind w:firstLine="1262" w:firstLineChars="526"/>
        <w:rPr>
          <w:rFonts w:hint="eastAsia" w:ascii="宋体" w:eastAsia="宋体" w:cs="宋体"/>
          <w:color w:val="333333"/>
          <w:kern w:val="0"/>
          <w:sz w:val="24"/>
          <w:szCs w:val="24"/>
        </w:rPr>
      </w:pPr>
      <w:r>
        <w:rPr>
          <w:rFonts w:hint="eastAsia" w:ascii="宋体" w:eastAsia="宋体" w:cs="宋体"/>
          <w:color w:val="333333"/>
          <w:kern w:val="0"/>
          <w:sz w:val="24"/>
          <w:szCs w:val="24"/>
        </w:rPr>
        <w:t>2.国务院决定下放审批层级的行政许可事项目录（共4项）</w:t>
      </w:r>
    </w:p>
    <w:p>
      <w:pPr>
        <w:widowControl/>
        <w:shd w:val="clear" w:color="auto" w:fill="FFFFFF"/>
        <w:jc w:val="right"/>
        <w:rPr>
          <w:rFonts w:hint="eastAsia" w:ascii="宋体" w:eastAsia="宋体" w:cs="宋体"/>
          <w:color w:val="333333"/>
          <w:kern w:val="0"/>
          <w:sz w:val="24"/>
          <w:szCs w:val="24"/>
        </w:rPr>
      </w:pPr>
      <w:r>
        <w:rPr>
          <w:rFonts w:hint="eastAsia" w:ascii="宋体" w:eastAsia="宋体" w:cs="宋体"/>
          <w:color w:val="333333"/>
          <w:kern w:val="0"/>
          <w:sz w:val="24"/>
          <w:szCs w:val="24"/>
        </w:rPr>
        <w:t>国务院</w:t>
      </w:r>
    </w:p>
    <w:p>
      <w:pPr>
        <w:widowControl/>
        <w:shd w:val="clear" w:color="auto" w:fill="FFFFFF"/>
        <w:jc w:val="right"/>
        <w:rPr>
          <w:rFonts w:hint="eastAsia" w:ascii="宋体" w:eastAsia="宋体" w:cs="宋体"/>
          <w:color w:val="333333"/>
          <w:kern w:val="0"/>
          <w:sz w:val="24"/>
          <w:szCs w:val="24"/>
        </w:rPr>
      </w:pPr>
      <w:r>
        <w:rPr>
          <w:rFonts w:hint="eastAsia" w:ascii="宋体" w:eastAsia="宋体" w:cs="宋体"/>
          <w:color w:val="333333"/>
          <w:kern w:val="0"/>
          <w:sz w:val="24"/>
          <w:szCs w:val="24"/>
        </w:rPr>
        <w:t>2020年9月13日</w:t>
      </w:r>
    </w:p>
    <w:p>
      <w:pPr>
        <w:widowControl/>
        <w:shd w:val="clear" w:color="auto" w:fill="FFFFFF"/>
        <w:jc w:val="both"/>
        <w:rPr>
          <w:rFonts w:hint="eastAsia" w:ascii="宋体" w:eastAsia="宋体" w:cs="宋体"/>
          <w:color w:val="333333"/>
          <w:kern w:val="0"/>
          <w:sz w:val="24"/>
          <w:szCs w:val="24"/>
        </w:rPr>
      </w:pPr>
      <w:r>
        <w:rPr>
          <w:rFonts w:hint="eastAsia" w:ascii="宋体" w:eastAsia="宋体" w:cs="宋体"/>
          <w:color w:val="333333"/>
          <w:kern w:val="0"/>
          <w:sz w:val="24"/>
          <w:szCs w:val="24"/>
        </w:rPr>
        <w:t>（此件公开发布）</w:t>
      </w:r>
    </w:p>
    <w:p>
      <w:pPr>
        <w:widowControl/>
        <w:shd w:val="clear" w:color="auto" w:fill="FFFFFF"/>
        <w:ind w:firstLine="480"/>
        <w:rPr>
          <w:rFonts w:hint="eastAsia" w:ascii="宋体" w:eastAsia="宋体" w:cs="宋体"/>
          <w:color w:val="333333"/>
          <w:kern w:val="0"/>
          <w:sz w:val="24"/>
          <w:szCs w:val="24"/>
        </w:rPr>
      </w:pPr>
    </w:p>
    <w:p>
      <w:pPr>
        <w:widowControl/>
        <w:shd w:val="clear" w:color="auto" w:fill="FFFFFF"/>
        <w:rPr>
          <w:rFonts w:hint="eastAsia" w:ascii="宋体" w:eastAsia="宋体" w:cs="宋体"/>
          <w:color w:val="333333"/>
          <w:kern w:val="0"/>
          <w:sz w:val="24"/>
          <w:szCs w:val="24"/>
        </w:rPr>
      </w:pPr>
      <w:r>
        <w:rPr>
          <w:rFonts w:hint="eastAsia" w:ascii="宋体" w:eastAsia="宋体" w:cs="宋体"/>
          <w:b/>
          <w:bCs/>
          <w:color w:val="333333"/>
          <w:kern w:val="0"/>
          <w:sz w:val="24"/>
          <w:szCs w:val="24"/>
        </w:rPr>
        <w:t>附件1</w:t>
      </w:r>
    </w:p>
    <w:p>
      <w:pPr>
        <w:widowControl/>
        <w:shd w:val="clear" w:color="auto" w:fill="FFFFFF"/>
        <w:jc w:val="center"/>
        <w:rPr>
          <w:rFonts w:hint="eastAsia" w:ascii="宋体" w:eastAsia="宋体" w:cs="宋体"/>
          <w:color w:val="333333"/>
          <w:kern w:val="0"/>
          <w:sz w:val="24"/>
          <w:szCs w:val="24"/>
        </w:rPr>
      </w:pPr>
      <w:r>
        <w:rPr>
          <w:rFonts w:hint="eastAsia" w:ascii="宋体" w:eastAsia="宋体" w:cs="宋体"/>
          <w:b/>
          <w:bCs/>
          <w:color w:val="333333"/>
          <w:kern w:val="0"/>
          <w:sz w:val="36"/>
          <w:szCs w:val="36"/>
        </w:rPr>
        <w:t>国务院决定取消的行政许可事项目录</w:t>
      </w:r>
    </w:p>
    <w:p>
      <w:pPr>
        <w:widowControl/>
        <w:shd w:val="clear" w:color="auto" w:fill="FFFFFF"/>
        <w:jc w:val="center"/>
        <w:rPr>
          <w:rFonts w:hint="eastAsia" w:ascii="宋体" w:eastAsia="宋体" w:cs="宋体"/>
          <w:color w:val="333333"/>
          <w:kern w:val="0"/>
          <w:sz w:val="24"/>
          <w:szCs w:val="24"/>
        </w:rPr>
      </w:pPr>
      <w:r>
        <w:rPr>
          <w:rFonts w:hint="eastAsia" w:ascii="楷体" w:eastAsia="楷体" w:cs="宋体"/>
          <w:color w:val="333333"/>
          <w:kern w:val="0"/>
          <w:sz w:val="24"/>
          <w:szCs w:val="24"/>
        </w:rPr>
        <w:t>（共29项）</w:t>
      </w:r>
    </w:p>
    <w:p>
      <w:pPr>
        <w:widowControl/>
        <w:shd w:val="clear" w:color="auto" w:fill="FFFFFF"/>
        <w:jc w:val="center"/>
        <w:rPr>
          <w:rFonts w:hint="eastAsia" w:ascii="宋体" w:eastAsia="宋体" w:cs="宋体"/>
          <w:color w:val="333333"/>
          <w:kern w:val="0"/>
          <w:sz w:val="24"/>
          <w:szCs w:val="24"/>
        </w:rPr>
      </w:pPr>
    </w:p>
    <w:tbl>
      <w:tblPr>
        <w:tblStyle w:val="5"/>
        <w:tblW w:w="89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38"/>
        <w:gridCol w:w="1320"/>
        <w:gridCol w:w="1296"/>
        <w:gridCol w:w="1491"/>
        <w:gridCol w:w="40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kern w:val="0"/>
                <w:szCs w:val="21"/>
              </w:rPr>
            </w:pPr>
            <w:r>
              <w:rPr>
                <w:rFonts w:hint="eastAsia" w:ascii="宋体" w:eastAsia="宋体" w:cs="Calibri"/>
                <w:b/>
                <w:bCs/>
                <w:kern w:val="0"/>
                <w:sz w:val="20"/>
                <w:szCs w:val="20"/>
              </w:rPr>
              <w:t>序号</w:t>
            </w:r>
          </w:p>
        </w:tc>
        <w:tc>
          <w:tcPr>
            <w:tcW w:w="1320" w:type="dxa"/>
            <w:tcBorders>
              <w:tl2br w:val="nil"/>
              <w:tr2bl w:val="nil"/>
            </w:tcBorders>
            <w:tcMar>
              <w:left w:w="108" w:type="dxa"/>
              <w:right w:w="108" w:type="dxa"/>
            </w:tcMar>
            <w:vAlign w:val="center"/>
          </w:tcPr>
          <w:p>
            <w:pPr>
              <w:widowControl/>
              <w:jc w:val="center"/>
              <w:rPr>
                <w:rFonts w:ascii="Calibri" w:hAnsi="Calibri" w:eastAsia="宋体" w:cs="Calibri"/>
                <w:kern w:val="0"/>
                <w:szCs w:val="21"/>
              </w:rPr>
            </w:pPr>
            <w:r>
              <w:rPr>
                <w:rFonts w:hint="eastAsia" w:ascii="宋体" w:eastAsia="宋体" w:cs="Calibri"/>
                <w:b/>
                <w:bCs/>
                <w:kern w:val="0"/>
                <w:sz w:val="20"/>
                <w:szCs w:val="20"/>
              </w:rPr>
              <w:t>事项名称</w:t>
            </w:r>
          </w:p>
        </w:tc>
        <w:tc>
          <w:tcPr>
            <w:tcW w:w="1296" w:type="dxa"/>
            <w:tcBorders>
              <w:tl2br w:val="nil"/>
              <w:tr2bl w:val="nil"/>
            </w:tcBorders>
            <w:tcMar>
              <w:left w:w="108" w:type="dxa"/>
              <w:right w:w="108" w:type="dxa"/>
            </w:tcMar>
            <w:vAlign w:val="center"/>
          </w:tcPr>
          <w:p>
            <w:pPr>
              <w:widowControl/>
              <w:jc w:val="center"/>
              <w:rPr>
                <w:rFonts w:ascii="Calibri" w:hAnsi="Calibri" w:eastAsia="宋体" w:cs="Calibri"/>
                <w:kern w:val="0"/>
                <w:szCs w:val="21"/>
              </w:rPr>
            </w:pPr>
            <w:r>
              <w:rPr>
                <w:rFonts w:hint="eastAsia" w:ascii="宋体" w:eastAsia="宋体" w:cs="Calibri"/>
                <w:b/>
                <w:bCs/>
                <w:kern w:val="0"/>
                <w:sz w:val="20"/>
                <w:szCs w:val="20"/>
              </w:rPr>
              <w:t>审批部门</w:t>
            </w:r>
          </w:p>
        </w:tc>
        <w:tc>
          <w:tcPr>
            <w:tcW w:w="1491" w:type="dxa"/>
            <w:tcBorders>
              <w:tl2br w:val="nil"/>
              <w:tr2bl w:val="nil"/>
            </w:tcBorders>
            <w:tcMar>
              <w:left w:w="108" w:type="dxa"/>
              <w:right w:w="108" w:type="dxa"/>
            </w:tcMar>
            <w:vAlign w:val="center"/>
          </w:tcPr>
          <w:p>
            <w:pPr>
              <w:widowControl/>
              <w:jc w:val="center"/>
              <w:rPr>
                <w:rFonts w:ascii="Calibri" w:hAnsi="Calibri" w:eastAsia="宋体" w:cs="Calibri"/>
                <w:kern w:val="0"/>
                <w:szCs w:val="21"/>
              </w:rPr>
            </w:pPr>
            <w:r>
              <w:rPr>
                <w:rFonts w:hint="eastAsia" w:ascii="宋体" w:eastAsia="宋体" w:cs="Calibri"/>
                <w:b/>
                <w:bCs/>
                <w:kern w:val="0"/>
                <w:sz w:val="20"/>
                <w:szCs w:val="20"/>
              </w:rPr>
              <w:t>设定依据</w:t>
            </w:r>
          </w:p>
        </w:tc>
        <w:tc>
          <w:tcPr>
            <w:tcW w:w="4097" w:type="dxa"/>
            <w:tcBorders>
              <w:tl2br w:val="nil"/>
              <w:tr2bl w:val="nil"/>
            </w:tcBorders>
            <w:tcMar>
              <w:left w:w="108" w:type="dxa"/>
              <w:right w:w="108" w:type="dxa"/>
            </w:tcMar>
            <w:vAlign w:val="center"/>
          </w:tcPr>
          <w:p>
            <w:pPr>
              <w:widowControl/>
              <w:jc w:val="center"/>
              <w:rPr>
                <w:rFonts w:ascii="Calibri" w:hAnsi="Calibri" w:eastAsia="宋体" w:cs="Calibri"/>
                <w:kern w:val="0"/>
                <w:szCs w:val="21"/>
              </w:rPr>
            </w:pPr>
            <w:r>
              <w:rPr>
                <w:rFonts w:hint="eastAsia" w:ascii="宋体" w:eastAsia="宋体" w:cs="Calibri"/>
                <w:b/>
                <w:bCs/>
                <w:kern w:val="0"/>
                <w:sz w:val="20"/>
                <w:szCs w:val="20"/>
              </w:rPr>
              <w:t>加强事中事后监管措施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7" w:hRule="atLeast"/>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外商投资经营电信业务审定意见书核发</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工业和信息化部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《外商投资电信企业管理规定》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取消许可后，工业和信息化部、省级通信管理局要通过以下措施加强监管：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1.在办理“电信业务经营许可”时，对外商投资电信企业落实股比限制要求情况进行严格把关。</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2.加强对外商投资电信企业日常经营活动的监测，督促其按要求报送有关信息。</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3.通过“双随机、一公开”监管等方式加强监管，发现违法违规行为要依法查处并向社会公开结果。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铬化合物生产建设项目审批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省级工业和信息化部门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《国务院办公厅关于印发工业和信息化部主要职责内设机构和人员编制规定的通知》（国办发〔2008〕72号）</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《国务院关于取消和调整一批行政审批项目等事项的决定》（国发〔2015〕11号）</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取消许可后，工业和信息化部门要通过以下措施加强监管：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1.严格执行铬化合物生产的产业政策，发现铬化合物生产建设项目属于禁止或者限制类项目的，要按照规定及时处置。</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按照《国务院办公厅关于推进城镇人口密集区危险化学品生产企业搬迁改造的指导意见》（国办发〔2017〕77号）规定，对位于城镇人口密集区的铬化合物生产企业严格评估安全和卫生防护距离，评估不达标的企业要进行搬迁改造。</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3.支持和鼓励铬渣资源综合利用，制定相关产品标准，推动钢铁企业消纳铬渣。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典当业特种行业许可证核发</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县级以上地方公安机关</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取消许可后，公安机关和有关部门要通过以下措施加强监管：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省级地方金融监管部门应当将办理“设立典当行及分支机构审批”（含设立、变更、注销）的信息在作出审批决定后5个工作日内推送至省级公安机关，公安机关据此将典当行及分支机构纳入监管范围，依法实施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2.通过“双随机、一公开”监管等方式，加强对典当行的治安管理，及时化解风险隐患，发现违法犯罪活动要依法查处。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通航建筑物设计文件和施工方案审批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省级交通运输部门或航道管理机构</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《中华人民共和国航道管理条例》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取消许可后，交通运输部门、航道管理机构要通过以下措施加强监管：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1.要求通航建筑物建设单位完成通航建筑物设计后报请有关交通运输部门办理“水运工程建设项目设计文件审批”。</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2.加强对水运工程建设市场的监管，督促建设单位严格落实经审批同意的水运工程建设项目设计文件，发现违法违规行为要依法查处并向社会公开结果。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5</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新农药登记试验审查</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农业农村部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《农药管理条例》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取消许可，改为备案。农业农村部门要通过以下措施加强监管：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1.建立健全新农药登记试验备案制度，建设全国统一的在线备案平台，方便有关企业快捷办理备案手续，对不按要求备案的要依法设定并追究法律责任。</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2.严格实施“农药登记试验单位认定”许可，把牢农药登记试验单位准入关口。</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3.对备案的新农药登记试验活动进行抽查监管，督促有关单位落实风险防控措施，发现违法违规行为要依法查处并向社会公开结果。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4.在“农药登记”许可环节，对新农药登记试验活动有关情况进行审查把关。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6</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七类肥料（含大量元素水溶肥料、中量元素水溶肥料、微量元素水溶肥料、农用氯化钾镁、农用硫酸钾镁、复混肥料、掺混肥料）登记</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农业农村部、省级农业农村部门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《中华人民共和国农业法》</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《中华人民共和国农产品质量安全法》</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《中华人民共和国土壤污染防治法》</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取消许可，改为备案。农业农村部门要通过以下措施加强监管：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1.建立健全部分肥料产品备案制度，建立网上备案平台，对不按要求备案的要依法设定并追究法律责任。</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2.开展“双随机、一公开”监管，对市场流通的七类肥料产品开展抽检，发现违法违规行为要依法查处并向社会公开结果。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7</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乡村兽医登记许可</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县级农业农村（兽医）部门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《中华人民共和国动物防疫法》</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《乡村兽医管理办法》（原农业部令第17号）</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取消许可，改为备案。农业农村（兽医）部门要通过以下措施加强监管：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1.建立健全乡村兽医服务人员备案制度，对不按要求备案的要依法设定并追究法律责任。要向社会公开备案情况，方便查询、就医，并发挥社会监督作用。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2.开展“双随机、一公开”监管，畅通投诉举报渠道，发现违法违规行为要依法查处并向社会公开结果。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8</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兴建可能导致重点保护野生动植物生存环境污染和破坏的海岸工程建设项目审批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设区的市级农业农村（渔业）部门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《中华人民共和国防治海岸工程建设项目污染损害海洋环境管理条例》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取消许可后，农业农村（渔业）部门和有关部门要通过以下措施加强监管：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对可能导致重点保护野生动植物生存环境污染和破坏的海岸工程建设项目，生态环境部门在审批环境影响评价文件时应征求农业农村（渔业）部门意见，科学分析建设项目对重点保护野生动植物生存环境的影响并提出相应保护要求。</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2.加强对建设项目环境保护措施落实情况的监管，发现违法违规行为要依法查处并向社会公开结果。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9</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石油成品油批发、仓储经营资格审批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商务部、省级商务部门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取消许可后，商务部门要会同有关部门通过以下措施加强监管：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商务部门严格落实石油成品油流通行业监管职责。要求石油成品油批发、仓储企业建立购销和出入库台账制度，完善油品来源、销售去向、检验报告、检查记录等凭证材料档案。开展“双随机、一公开”监管，重点检查企业台账制度建立执行情况，发现违法违规行为依法处理或者提请有关部门予以查处。结合企业诚信经营和风险状况依法实施差异化监管。支持行业协会发挥行业自律作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地方政府严格落实属地监管职责。建立跨部门联合监管机制，按照综合行政执法改革精神，统筹配置行政处罚职能和执法资源，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相关部门严格落实专项监管职责。从事石油成品油批发、仓储经营活动的企业必须符合自然资源、规划、建设、质量计量、环保、安全生产、消防、治安反恐、商务、税务、交通运输、气象等方面法律法规和标准要求，依法依规开展经营。公安、自然资源、生态环境、住房城乡建设、交通运输、商务、应急管理、税务、市场监管、能源等部门按职责依法依规加强监管，承担安全生产监管责任的部门切实履行监管责任、守牢安全底线。</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加强石油成品油批发、仓储行业监管信息共享运用。市场监管部门要及时将新登记经营范围涉及石油成品油批发、仓储的企业信息推送至有关主管部门。商务部门要将改革前已取得相应许可的石油成品油批发、仓储企业信息，以及行业监管中发现的超经营范围经营企业信息或者无照经营信息及时推送至有关主管部门。各有关主管部门要充分运用共享的监管信息，有针对性地加强监管执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10</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部分医疗机构（除三级医院、三级妇幼保健院、急救中心、急救站、临床检验中心、中外合资合作医疗机构、港澳台独资医疗机构外）《设置医疗机构批准书》核发</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县级以上地方卫生健康部门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《医疗机构管理条例》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取消许可后，卫生健康部门要通过以下措施加强监管：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1.完善医疗机构设置规划方式,对社会办医疗机构实行指导性规划。加强对社会资本投资医疗机构的服务，同时注意防止以服务之名行审批之实。</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2.严格实施“医疗机构执业登记”，并将审批结果向社会公开。</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3.开展“双随机、一公开”监管、重点监管等，畅通投诉举报渠道，依法处理医患纠纷和医疗事故，加大对医疗机构的监督检查力度，发现违法违规行为要依法查处并向社会公开结果。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4.依法实施信用监管，如实记录违法失信行为，实施差异化监管措施，对严重违法的医疗机构及其从业人员实行行业禁入。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11</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职业卫生技术服务机构丙级资质认可</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设区的市级卫生健康部门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《中华人民共和国职业病防治法》</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《职业卫生技术服务机构监督管理暂行办法》（原国家安全监管总局令第50号）</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取消许可，整合至“职业卫生技术服务机构乙级资质认可”。卫生健康部门要通过以下措施加强监管：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1.适当降低职业卫生技术服务机构乙级资质条件要求，完善职业卫生技术服务标准。引导现有职业卫生技术服务丙级机构换领新的乙级资质证书，拓宽业务范围和业务地域范围。</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2.开展“双随机、一公开”监管，畅通投诉举报渠道，发现违法违规行为要依法查处并向社会公开结果。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3.对存在职业病危害因素的企业，依法开展职业病危害因素监督检查。发现职业卫生技术服务机构出具虚假报告的，依法追究法律责任。</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12</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银行间债券市场双边报价商审批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中国人民银行总行</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取消许可后，人民银行要通过以下措施加强监管：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1.建立健全做市业务激励约束机制，引导做市机构提升服务质量。</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2.建立交易报告库，强化交易信息统计。发现虚假交易、对倒冲量等行为要采取必要的惩戒措施。</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3.加强行业自律管理，支持银行间交易商协会以市场需求为导向，持续优化做市业务分层分类考评，并及时向市场披露。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13</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企业银行账户开户许可证核发</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中国人民银行总行及其分支行</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取消许可后，人民银行要通过以下措施加强监管：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1.压实商业银行账户管理主体责任，督促商业银行在线核验企业登记注册、相关人员、纳税等信息，并按要求向人民银行及时、全面、准确推送企业银行账户信息。</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通过“双随机、一公开”监管、重点监管等方式，加大对商业银行的执法检查力度，发现违法违规行为要依法查处并向社会公开结果。发现相关企业和个人买卖企业银行账户等违法违规行为的，要实施禁止新开户、暂停非柜面业务等惩戒措施，提高违法成本。</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3.健全跨部门信息共享机制，探索运用高科技手段，提升事中事后监管效能。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14</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出口食品生产企业备案核准</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直属海关、隶属海关</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《中华人民共和国食品安全法》</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取消许可，改为备案。海关要通过以下措施加强监管：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1.健全出口食品生产企业备案制度，实现网上备案，方便企业办事。</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2.加强海关与市场监管等部门之间的信息共享，充分利用海关通关数据和相关部门数据对备案信息进行校验核查。</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3.做好与出口目的地国指定主管部门的衔接配合，通过“双随机、一公开”监管、信用监管等方式加强监管。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15</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从事进出境动植物检疫处理业务的人员资格许可</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直属海关、隶属海关</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《中华人民共和国进出境动植物检疫法实施条例》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取消许可后，海关要通过以下措施加强监管：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1.压实从事进出境动植物检疫处理业务单位的主体责任，由单位负责对从业人员进行培训和考核，确保从业人员掌握熏蒸、消毒技术规范和操作规程后方可上岗。</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2.严格执行有关法律法规和标准，对检疫处理过程加强监督和指导，并出具相关证书。</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3.依法实施信用监管，如实记录违法失信行为，实施差异化监管等措施，对发生严重违法行为的单位和人员实行行业禁入。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16</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与强制性认证有关的检查机构指定</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市场监管总局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《中华人民共和国认证认可条例》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取消许可后，市场监管总局要通过以下措施加强监管：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1.完善与强制性认证有关的检查活动的标准和规范，落实认证机构主体责任，充分发挥其对检查活动的监督作用。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2.通过投诉举报、日常监测、专项检查等方式，及时发现和纠正检查活动中的违法违规行为，依法追究法律责任。</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17</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中央储备粮代储资格审批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国家粮食和储备局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《中央储备粮管理条例》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取消许可，改变管理方式，禁止中储粮集团公司直属企业以外的市场主体承储中央储备粮。粮食和储备部门要通过以下措施加强监管：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1.对于已取得中央储备粮代储资格的企业，许可证到期后自动失效。</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2.开展“中央事权粮食政策执行和中央储备粮管理情况年度考核”，做好年度库存检查，确保中央储备粮数量真实、质量达标、储存安全。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开展“双随机、一公开”监管，利用信息化手段提升监管精准度和有效性，畅通投诉举报渠道，强化对中储粮集团公司及其直属企业的日常监管。发现违法违规行为要依法查处并向社会公开结果，发现涉嫌犯罪活动要及时移交有关机关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18</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林业质检机构资质认定</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国家林草局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《中华人民共和国标准化法实施条例》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取消许可后，林草部门和市场监管部门要通过以下措施加强监管：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市场监管总局规定或调整检验检测机构准入条件时，应征求国家林草局意见，体现林草部门关于林业质检机构的特别准入要求。新增或续期的林业质检机构直接向市场监管部门申请办理有关许可，市场监管部门审批时应征求同级林草部门意见。</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2.市场监管部门通过“双随机、一公开”监管、重点监管、信用监管等方式，对检验检测机构实施日常管理，发现违法违规行为要依法查处并向社会公开结果，涉及林业质检机构的还要及时推送至同级林草部门。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19</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林木种子质量检验机构资质认定</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国家林草局、省级林草部门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《中华人民共和国种子法》</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取消许可后，林草部门和市场监管部门要通过以下措施加强监管：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市场监管总局规定或调整检验检测机构准入条件时，应征求国家林草局意见，体现林草部门关于林木种子质量检验机构的特别准入要求。新增或续期的林木种子质量检验机构直接向市场监管部门申请办理有关许可，市场监管部门审批时应征求同级林草部门意见。</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市场监管部门通过“双随机、一公开”监管、重点监管、信用监管等方式，对检验检测机构实施日常管理，发现违法违规行为要依法查处并向社会公开结果，涉及林木种子质量检验机构的还要及时推送至同级林草部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20</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草种质量检验机构资质认定</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《中华人民共和国种子法》</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取消许可后，林草部门和市场监管部门要通过以下措施加强监管：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市场监管总局规定或调整检验检测机构准入条件时，要征求国家林草局意见，体现林草部门关于草种质量检验机构的特别准入要求。新增草种质量检验机构直接向市场监管部门申请办理有关许可，市场监管部门审批时应征求同级林草部门意见。</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市场监管部门通过“双随机、一公开”监管、重点监管、信用监管等方式，对检验检测机构实施日常管理，发现违法违规行为要依法查处并向社会公开结果，涉及草种质量检验机构的还要及时推送至同级林草部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21</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草种进出口经营许可证审核（初审）</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《中华人民共和国种子法》</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取消初审后，林草部门要通过以下措施加强监管：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1.国家林草局严格实施“草种进出口经营许可证核发”，重新公布审批服务指南，推动实现网上办理，方便企业办事。</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2.开展“双随机、一公开”监管，督促草种进出口企业落实标签、档案、质量管理等制度，畅通投诉举报渠道，发现违法违规行为要依法查处并向社会公开结果。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33" w:hRule="atLeast"/>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22</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外国人进入国家级环境保护自然保护区审批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《中华人民共和国自然保护区条例》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1.加强对国家级自然保护区的日常监管，指导国家级自然保护区管理机构对进入保护区的外国人加强管理。发现违法违规行为要依法查处并向社会公开结果，发现涉嫌犯罪活动要及时移交有关机关处理。</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2.严格实施猎捕野生动物、采伐或采集野生植物、出口野生动植物及其产品等方面的许可管理，防止资源流失。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23</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外国人进入国家级海洋自然保护区审批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《中华人民共和国自然保护区条例》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取消许可后，林草部门和有关单位要通过以下措施加强监管：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加强对国家级自然保护区的日常监管，指导国家级自然保护区管理机构对进入保护区的外国人加强管理。发现外国人进入国家级海洋自然保护区从事违法违规活动的，由林草部门、中国海警局按职责分工依法查处并向社会公开结果，发现涉嫌犯罪活动要及时移交有关机关处理。</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2.严格实施猎捕野生动物、采伐或采集野生植物、出口野生动植物及其产品等方面的许可管理，防止资源流失。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24</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外国人进入国家级渔业自然保护区审批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《中华人民共和国自然保护区条例》</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取消许可后，林草部门要通过以下措施加强监管：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1.加强对国家级自然保护区的日常监管，指导国家级自然保护区管理机构对进入保护区的外国人加强管理。发现违法违规行为要依法查处并向社会公开结果，发现涉嫌犯罪活动要及时移交有关机关处理。</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2.严格实施猎捕野生动物、采伐或采集野生植物、出口野生动植物及其产品等方面的许可管理，防止资源流失。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0" w:hRule="atLeast"/>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25</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在国家级自然保护区建立机构和修筑设施初审</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省级林草部门</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《森林和野生动物类型自然保护区管理办法》</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《在国家级自然保护区修筑设施审批管理暂行办法》（原国家林业局令第50号）</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取消初审后，林草部门要通过以下措施加强监管：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1.国家林草局严格实施“在国家级自然保护区建立机构和修筑设施审批”，推动实现网上办理，方便企业办事。</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2.国家林草局派出机构、省级林草部门、国家级自然保护区管理机构加大抽查、巡查力度，畅通投诉举报渠道，发现违法违规行为要依法查处并向社会公开结果。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26</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非经营性通用航空登记核准</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中国民航局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《国务院关于通用航空管理的暂行规定》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取消许可，改为备案。民航部门和有关部门要通过以下措施加强监管：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非经营性通用航空备案制度。依法严格实施航空器适航管理和国籍登记、航空器驾驶员资质管理、航空电台执照管理、飞行计划管理、飞行过程监控管理等。健全安全监管体系，完善有关管理系统，推进低空飞行服务保障体系建设，加强跨部门信息共享。</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通过“双随机、一公开”监管、重点监管等方式加强监管，督促落实非经营性通用航空保险制度。加强民航部门与空管部门、公安机关的工作衔接，联合实施低空飞行安全监管，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3.依法实施信用监管，如实记录违法失信行为，实施差异化监管、行业禁入等措施。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74" w:hRule="atLeast"/>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27</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限额以下外商投资民航项目建议书和可行性研究报告审批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中国民航局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取消许可后，民航部门和有关部门要通过以下措施加强监管：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1.依法严格实施“规定权限内对新建、改建和扩建民用运输机场的审批和审核”、“民用机场使用许可证核发”、“公共航空运输企业经营许可”、“通用航空企业经营许可”等行政许可。</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依法对影响或可能影响国家安全的外商投资项目进行外商投资安全审查，严格落实《外商投资准入特别管理措施（负面清单）》关于外商投资民用机场、公共航空运输公司、通用航空公司、机场塔台等的特别管理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28</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经营境内邮政通信业务审批</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国家邮政局、省级邮政管理局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取消许可后，邮政部门要通过以下措施加强监管：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1.完善邮政企业委托第三方提供服务的管理制度，督促邮政企业落实主体责任，明确业务委托范围，保障邮件安全。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2.对邮政企业委托的第三方企业开展“双随机、一公开”监管，畅通投诉举报渠道，发现违法违规行为要依法查处并向社会公开结果。</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3.依法实施信用监管，如实记录违法失信行为，发现严重违法行为要依法对有关企业和人员实行行业禁入。</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4.如将来需要批准中国邮政集团公司以外的企业经营境内邮政通信业务，由国家邮政局按照党中央、国务院决策部署办理，并提出修改完善有关法律规定的建议。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738" w:type="dxa"/>
            <w:tcBorders>
              <w:tl2br w:val="nil"/>
              <w:tr2bl w:val="nil"/>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29</w:t>
            </w:r>
          </w:p>
        </w:tc>
        <w:tc>
          <w:tcPr>
            <w:tcW w:w="1320"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合格境外机构投资者投资额度、账户、资金汇出审批及外汇登记证核发</w:t>
            </w:r>
          </w:p>
        </w:tc>
        <w:tc>
          <w:tcPr>
            <w:tcW w:w="1296"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国家外汇局</w:t>
            </w:r>
          </w:p>
        </w:tc>
        <w:tc>
          <w:tcPr>
            <w:tcW w:w="1491"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4097" w:type="dxa"/>
            <w:tcBorders>
              <w:tl2br w:val="nil"/>
              <w:tr2bl w:val="nil"/>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取消许可后，外汇部门要会同有关部门通过以下措施加强监管：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1.优化宏观审慎管理，探索完善价格型宏观审慎管理手段，逆周期调控相关资金跨境流动。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2.强化外汇登记和监管，实现境外机构投资者汇兑行为全过程留痕，加强资金跨境流动风险监测和预警，完善风险应对预案，防范异常跨境资金大规模集中流动风险。</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3.加强多部门协同配合的市场监测和管理，及时发现和处置跨市场异常交易行为，对情节严重的要依法采取限制账户交易、限制资金进出等措施。发现违法违规行为要依法查处并向社会公开结果。</w:t>
            </w:r>
          </w:p>
        </w:tc>
      </w:tr>
    </w:tbl>
    <w:p>
      <w:pPr>
        <w:widowControl/>
        <w:shd w:val="clear" w:color="auto" w:fill="FFFFFF"/>
        <w:rPr>
          <w:rFonts w:hint="eastAsia" w:ascii="Calibri" w:hAnsi="Calibri" w:eastAsia="宋体" w:cs="Calibri"/>
          <w:b w:val="0"/>
          <w:bCs w:val="0"/>
          <w:color w:val="auto"/>
          <w:kern w:val="0"/>
          <w:szCs w:val="21"/>
        </w:rPr>
      </w:pPr>
      <w:r>
        <w:rPr>
          <w:rFonts w:ascii="Calibri" w:hAnsi="Calibri" w:eastAsia="宋体" w:cs="Calibri"/>
          <w:b w:val="0"/>
          <w:bCs w:val="0"/>
          <w:color w:val="auto"/>
          <w:kern w:val="0"/>
          <w:szCs w:val="21"/>
        </w:rPr>
        <w:t> </w:t>
      </w: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ascii="Calibri" w:hAnsi="Calibri" w:eastAsia="宋体" w:cs="Calibri"/>
          <w:b w:val="0"/>
          <w:bCs w:val="0"/>
          <w:color w:val="auto"/>
          <w:kern w:val="0"/>
          <w:szCs w:val="21"/>
        </w:rPr>
      </w:pPr>
    </w:p>
    <w:p>
      <w:pPr>
        <w:widowControl/>
        <w:shd w:val="clear" w:color="auto" w:fill="FFFFFF"/>
        <w:jc w:val="left"/>
        <w:rPr>
          <w:rFonts w:hint="eastAsia" w:ascii="方正黑体_GBK" w:hAnsi="方正黑体_GBK" w:eastAsia="方正黑体_GBK" w:cs="方正黑体_GBK"/>
          <w:b w:val="0"/>
          <w:bCs w:val="0"/>
          <w:color w:val="auto"/>
          <w:kern w:val="0"/>
          <w:sz w:val="28"/>
          <w:szCs w:val="28"/>
        </w:rPr>
      </w:pPr>
      <w:r>
        <w:rPr>
          <w:rFonts w:hint="eastAsia" w:ascii="方正黑体_GBK" w:hAnsi="方正黑体_GBK" w:eastAsia="方正黑体_GBK" w:cs="方正黑体_GBK"/>
          <w:b w:val="0"/>
          <w:bCs w:val="0"/>
          <w:color w:val="auto"/>
          <w:kern w:val="0"/>
          <w:sz w:val="28"/>
          <w:szCs w:val="28"/>
        </w:rPr>
        <w:t> 附件2</w:t>
      </w:r>
    </w:p>
    <w:p>
      <w:pPr>
        <w:widowControl/>
        <w:shd w:val="clear" w:color="auto" w:fill="FFFFFF"/>
        <w:jc w:val="center"/>
        <w:rPr>
          <w:rFonts w:hint="eastAsia" w:ascii="宋体" w:eastAsia="宋体" w:cs="宋体"/>
          <w:b w:val="0"/>
          <w:bCs w:val="0"/>
          <w:color w:val="auto"/>
          <w:kern w:val="0"/>
          <w:sz w:val="24"/>
          <w:szCs w:val="24"/>
        </w:rPr>
      </w:pPr>
      <w:r>
        <w:rPr>
          <w:rFonts w:hint="eastAsia" w:ascii="宋体" w:eastAsia="宋体" w:cs="宋体"/>
          <w:b w:val="0"/>
          <w:bCs w:val="0"/>
          <w:color w:val="auto"/>
          <w:kern w:val="0"/>
          <w:sz w:val="24"/>
          <w:szCs w:val="24"/>
        </w:rPr>
        <w:br w:type="textWrapping"/>
      </w:r>
      <w:r>
        <w:rPr>
          <w:rFonts w:hint="eastAsia" w:ascii="方正小标宋_GBK" w:hAnsi="方正小标宋_GBK" w:eastAsia="方正小标宋_GBK" w:cs="方正小标宋_GBK"/>
          <w:b w:val="0"/>
          <w:bCs w:val="0"/>
          <w:color w:val="auto"/>
          <w:kern w:val="0"/>
          <w:sz w:val="36"/>
          <w:szCs w:val="36"/>
        </w:rPr>
        <w:t>国务院决定下放审批层级的行政许可事项目录</w:t>
      </w:r>
      <w:r>
        <w:rPr>
          <w:rFonts w:hint="eastAsia" w:ascii="方正小标宋_GBK" w:hAnsi="方正小标宋_GBK" w:eastAsia="方正小标宋_GBK" w:cs="方正小标宋_GBK"/>
          <w:b w:val="0"/>
          <w:bCs w:val="0"/>
          <w:color w:val="auto"/>
          <w:kern w:val="0"/>
          <w:sz w:val="36"/>
          <w:szCs w:val="36"/>
        </w:rPr>
        <w:br w:type="textWrapping"/>
      </w:r>
      <w:r>
        <w:rPr>
          <w:rFonts w:hint="eastAsia" w:ascii="楷体" w:eastAsia="楷体" w:cs="宋体"/>
          <w:b w:val="0"/>
          <w:bCs w:val="0"/>
          <w:color w:val="auto"/>
          <w:kern w:val="0"/>
          <w:sz w:val="24"/>
          <w:szCs w:val="24"/>
        </w:rPr>
        <w:t>（共4项）</w:t>
      </w:r>
    </w:p>
    <w:p>
      <w:pPr>
        <w:widowControl/>
        <w:shd w:val="clear" w:color="auto" w:fill="FFFFFF"/>
        <w:jc w:val="center"/>
        <w:rPr>
          <w:rFonts w:hint="eastAsia" w:ascii="宋体" w:eastAsia="宋体" w:cs="宋体"/>
          <w:b w:val="0"/>
          <w:bCs w:val="0"/>
          <w:color w:val="auto"/>
          <w:kern w:val="0"/>
          <w:sz w:val="24"/>
          <w:szCs w:val="24"/>
        </w:rPr>
      </w:pPr>
    </w:p>
    <w:tbl>
      <w:tblPr>
        <w:tblStyle w:val="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2"/>
        <w:gridCol w:w="1200"/>
        <w:gridCol w:w="1236"/>
        <w:gridCol w:w="1188"/>
        <w:gridCol w:w="1308"/>
        <w:gridCol w:w="3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序号</w:t>
            </w:r>
          </w:p>
        </w:tc>
        <w:tc>
          <w:tcPr>
            <w:tcW w:w="1200"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事项名称</w:t>
            </w:r>
          </w:p>
        </w:tc>
        <w:tc>
          <w:tcPr>
            <w:tcW w:w="123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审批</w:t>
            </w:r>
          </w:p>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部门</w:t>
            </w:r>
          </w:p>
        </w:tc>
        <w:tc>
          <w:tcPr>
            <w:tcW w:w="11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设定依据</w:t>
            </w:r>
          </w:p>
        </w:tc>
        <w:tc>
          <w:tcPr>
            <w:tcW w:w="130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下放后</w:t>
            </w:r>
          </w:p>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审批部门</w:t>
            </w:r>
          </w:p>
        </w:tc>
        <w:tc>
          <w:tcPr>
            <w:tcW w:w="3377"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w:t>
            </w:r>
          </w:p>
        </w:tc>
        <w:tc>
          <w:tcPr>
            <w:tcW w:w="1200"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出口国家重点保护的农业野生植物或进出口中国参加的国际公约限制进出口的农业野生植物审批</w:t>
            </w:r>
          </w:p>
        </w:tc>
        <w:tc>
          <w:tcPr>
            <w:tcW w:w="1236"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农业农村部</w:t>
            </w:r>
          </w:p>
        </w:tc>
        <w:tc>
          <w:tcPr>
            <w:tcW w:w="118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《中华人民共和国野生植物保护条例》</w:t>
            </w:r>
          </w:p>
        </w:tc>
        <w:tc>
          <w:tcPr>
            <w:tcW w:w="130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省级农业农村部门</w:t>
            </w:r>
          </w:p>
        </w:tc>
        <w:tc>
          <w:tcPr>
            <w:tcW w:w="3377"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下放后，取消省级农业农村部门负责实施的初审。农业农村部门要通过以下措施加强监管：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1.省级农业农村部门严格实施许可，加强对出口国家重点保护的农业野生植物和进出口我国参加的国际公约限制进出口的农业野生植物的监管。农业农村部要加强对省级农业农村部门有关工作的指导和监督。</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2.加强跨部门、跨层级的信息共享，省级农业农村部门要及时将许可信息推送至农业农村部、国家林草局（国家濒危物种进出口管理机构）、海关等部门。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3.通过“双随机、一公开”监管、信用监管等方式加大执法监督力度，发现违法违规行为要依法查处并向社会公开结果。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w:t>
            </w:r>
          </w:p>
        </w:tc>
        <w:tc>
          <w:tcPr>
            <w:tcW w:w="1200"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成品油零售经营资格审批</w:t>
            </w:r>
          </w:p>
        </w:tc>
        <w:tc>
          <w:tcPr>
            <w:tcW w:w="1236"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省级商务部门</w:t>
            </w:r>
          </w:p>
        </w:tc>
        <w:tc>
          <w:tcPr>
            <w:tcW w:w="118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130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设区的市级人民政府指定部门</w:t>
            </w:r>
          </w:p>
        </w:tc>
        <w:tc>
          <w:tcPr>
            <w:tcW w:w="3377"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下放后，设区的市级人民政府指定部门（以下简称指定部门）要会同有关部门通过以下措施加强监管：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指定部门严格落实成品油流通行业监管职责。要求成品油零售企业建立购销台账制度，完善油品来源、检验报告、检查记录等凭证材料档案。指定部门开展“双随机、一公开”监管，重点检查企业台账制度建立执行情况，发现违法违规行为依法处理或者提请有关部门予以查处。结合企业诚信经营和风险状况依法实施差异化监管。支持行业协会发挥行业自律作用。</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地方政府严格落实属地监管职责。设区的市级人民政府要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相关部门严格落实专项监管职责。从事成品油零售经营活动的企业必须符合自然资源、规划、建设、质量计量、环保、安全生产、消防、治安反恐、商务、税务、交通运输、气象等方面法律法规和标准要求，依法依规开展经营。公安、自然资源、生态环境、住房城乡建设、交通运输、商务、应急管理、税务、市场监管、能源等部门按职责依法依规加强监管，承担安全生产监管责任的部门切实履行监管责任、守牢安全底线。</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加强成品油零售行业监管信息共享运用。市场监管部门要及时将新登记经营范围涉及成品油零售的企业信息推送至有关主管部门。商务部门要将改革前已取得相应许可的成品油零售企业信息推送至有关主管部门。指定部门要将行业监管中发现的超经营范围经营企业信息或者无照经营信息及时推送至有关主管部门。各有关主管部门要充分运用共享的监管信息，有针对性地加强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w:t>
            </w:r>
          </w:p>
        </w:tc>
        <w:tc>
          <w:tcPr>
            <w:tcW w:w="1200"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县级广播电台、电视台变更台名、节目设置范围或节目套数审批</w:t>
            </w:r>
          </w:p>
        </w:tc>
        <w:tc>
          <w:tcPr>
            <w:tcW w:w="1236"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广电总局</w:t>
            </w:r>
          </w:p>
        </w:tc>
        <w:tc>
          <w:tcPr>
            <w:tcW w:w="118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《广播电视管理条例》</w:t>
            </w:r>
          </w:p>
        </w:tc>
        <w:tc>
          <w:tcPr>
            <w:tcW w:w="130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省级广电部门</w:t>
            </w:r>
          </w:p>
        </w:tc>
        <w:tc>
          <w:tcPr>
            <w:tcW w:w="3377"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下放后，广电部门要通过以下措施加强监管：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1.省级广电部门在规定时限内将审批情况推送至广电总局，并向社会公示辖区内县级广播电台、电视台频道开办情况。广电总局要加强对省级广电部门的工作指导和监督。</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2.完善技术监管措施，对广播电台、电视台节目播出情况进行实时监管，制定应急预案并及时处理突发事件。</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3.通过“双随机、一公开”监管、信用监管等方式，加大执法监督力度，</w:t>
            </w:r>
            <w:bookmarkStart w:id="0" w:name="_GoBack"/>
            <w:bookmarkEnd w:id="0"/>
            <w:r>
              <w:rPr>
                <w:rFonts w:hint="eastAsia" w:ascii="宋体" w:eastAsia="宋体" w:cs="Calibri"/>
                <w:b w:val="0"/>
                <w:bCs w:val="0"/>
                <w:color w:val="auto"/>
                <w:kern w:val="0"/>
                <w:sz w:val="20"/>
                <w:szCs w:val="20"/>
              </w:rPr>
              <w:t>发现违法违规行为要依法查处并向社会公开结果。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4</w:t>
            </w:r>
          </w:p>
        </w:tc>
        <w:tc>
          <w:tcPr>
            <w:tcW w:w="1200"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设区的市、县级地方新闻单位的信息网络传播视听节目许可证核发</w:t>
            </w:r>
          </w:p>
        </w:tc>
        <w:tc>
          <w:tcPr>
            <w:tcW w:w="1236"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广电总局</w:t>
            </w:r>
          </w:p>
        </w:tc>
        <w:tc>
          <w:tcPr>
            <w:tcW w:w="118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《国务院对确需保留的行政审批项目设定行政许可的决定》</w:t>
            </w:r>
          </w:p>
        </w:tc>
        <w:tc>
          <w:tcPr>
            <w:tcW w:w="1308"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省级广电部门</w:t>
            </w:r>
          </w:p>
        </w:tc>
        <w:tc>
          <w:tcPr>
            <w:tcW w:w="3377" w:type="dxa"/>
            <w:tcBorders>
              <w:top w:val="nil"/>
              <w:left w:val="nil"/>
              <w:bottom w:val="single" w:color="auto" w:sz="8" w:space="0"/>
              <w:right w:val="single" w:color="auto" w:sz="8" w:space="0"/>
            </w:tcBorders>
            <w:tcMar>
              <w:left w:w="108" w:type="dxa"/>
              <w:right w:w="108" w:type="dxa"/>
            </w:tcMar>
            <w:vAlign w:val="center"/>
          </w:tcPr>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下放后，广电部门要通过以下措施加强监管：</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1.建立健全审批情况信息共享、节目报备和重大事项报告等制度，将设区的市、县级地方新闻单位播出的网络视听节目纳入网络视听节目管理系统。</w:t>
            </w:r>
          </w:p>
          <w:p>
            <w:pPr>
              <w:widowControl/>
              <w:rPr>
                <w:rFonts w:ascii="Calibri" w:hAnsi="Calibri" w:eastAsia="宋体" w:cs="Calibri"/>
                <w:b w:val="0"/>
                <w:bCs w:val="0"/>
                <w:color w:val="auto"/>
                <w:kern w:val="0"/>
                <w:szCs w:val="21"/>
              </w:rPr>
            </w:pPr>
            <w:r>
              <w:rPr>
                <w:rFonts w:hint="eastAsia" w:ascii="宋体" w:eastAsia="宋体" w:cs="Calibri"/>
                <w:b w:val="0"/>
                <w:bCs w:val="0"/>
                <w:color w:val="auto"/>
                <w:kern w:val="0"/>
                <w:sz w:val="20"/>
                <w:szCs w:val="20"/>
              </w:rPr>
              <w:t>2.指导督促新闻单位建立健全总编辑负责、节目播前审查、重要节目播出管理等制度。将有关节目纳入各级广播电视和网络视听监测监管平台，加强内容监管。发现违反规定造成重大事故的要严肃处理。</w:t>
            </w:r>
          </w:p>
        </w:tc>
      </w:tr>
    </w:tbl>
    <w:p>
      <w:pPr>
        <w:widowControl/>
        <w:shd w:val="clear" w:color="auto" w:fill="FFFFFF"/>
        <w:rPr>
          <w:rFonts w:hint="eastAsia" w:ascii="Calibri" w:hAnsi="Calibri" w:eastAsia="宋体" w:cs="Calibri"/>
          <w:b w:val="0"/>
          <w:bCs w:val="0"/>
          <w:color w:val="auto"/>
          <w:kern w:val="0"/>
          <w:szCs w:val="21"/>
        </w:rPr>
      </w:pPr>
      <w:r>
        <w:rPr>
          <w:rFonts w:ascii="Calibri" w:hAnsi="Calibri" w:eastAsia="宋体" w:cs="Calibri"/>
          <w:b w:val="0"/>
          <w:bCs w:val="0"/>
          <w:color w:val="auto"/>
          <w:kern w:val="0"/>
          <w:szCs w:val="21"/>
        </w:rPr>
        <w:t> </w:t>
      </w:r>
    </w:p>
    <w:p>
      <w:pPr>
        <w:widowControl/>
        <w:shd w:val="clear" w:color="auto" w:fill="FFFFFF"/>
        <w:rPr>
          <w:rFonts w:ascii="Calibri" w:hAnsi="Calibri" w:eastAsia="宋体" w:cs="Calibri"/>
          <w:b w:val="0"/>
          <w:bCs w:val="0"/>
          <w:color w:val="auto"/>
          <w:kern w:val="0"/>
          <w:szCs w:val="21"/>
        </w:rPr>
      </w:pPr>
      <w:r>
        <w:rPr>
          <w:rFonts w:ascii="Calibri" w:hAnsi="Calibri" w:eastAsia="宋体" w:cs="Calibri"/>
          <w:b w:val="0"/>
          <w:bCs w:val="0"/>
          <w:color w:val="auto"/>
          <w:kern w:val="0"/>
          <w:szCs w:val="21"/>
        </w:rPr>
        <w:t> </w:t>
      </w:r>
    </w:p>
    <w:p>
      <w:pPr>
        <w:rPr>
          <w:b w:val="0"/>
          <w:bCs w:val="0"/>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8</w:t>
                          </w:r>
                          <w:r>
                            <w:rPr>
                              <w:rFonts w:ascii="Times New Roman" w:hAnsi="Times New Roman" w:cs="Times New Roman"/>
                              <w:sz w:val="32"/>
                              <w:szCs w:val="32"/>
                            </w:rPr>
                            <w:fldChar w:fldCharType="end"/>
                          </w:r>
                          <w:r>
                            <w:rPr>
                              <w:rFonts w:hint="eastAsia" w:ascii="宋体" w:hAnsi="宋体" w:eastAsia="宋体" w:cs="宋体"/>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8</w:t>
                    </w:r>
                    <w:r>
                      <w:rPr>
                        <w:rFonts w:ascii="Times New Roman" w:hAnsi="Times New Roman" w:cs="Times New Roman"/>
                        <w:sz w:val="32"/>
                        <w:szCs w:val="32"/>
                      </w:rPr>
                      <w:fldChar w:fldCharType="end"/>
                    </w:r>
                    <w:r>
                      <w:rPr>
                        <w:rFonts w:hint="eastAsia" w:ascii="宋体" w:hAnsi="宋体" w:eastAsia="宋体" w:cs="宋体"/>
                        <w:sz w:val="32"/>
                        <w:szCs w:val="32"/>
                      </w:rPr>
                      <w:t>－</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116798B"/>
    <w:rsid w:val="35A41C6D"/>
    <w:rsid w:val="38617BEF"/>
    <w:rsid w:val="4AAD5BB1"/>
    <w:rsid w:val="72426C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10308</Words>
  <Characters>10456</Characters>
  <Lines>832</Lines>
  <Paragraphs>303</Paragraphs>
  <TotalTime>23</TotalTime>
  <ScaleCrop>false</ScaleCrop>
  <LinksUpToDate>false</LinksUpToDate>
  <CharactersWithSpaces>10462</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2020-11-09T08:50:00Z</dcterms:created>
  <dc:creator>xbany</dc:creator>
  <cp:lastModifiedBy>Lee</cp:lastModifiedBy>
  <cp:lastPrinted>2021-03-08T07:07:30Z</cp:lastPrinted>
  <dcterms:modified xsi:type="dcterms:W3CDTF">2021-03-08T07:15:23Z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242640185_btnclosed</vt:lpwstr>
  </property>
</Properties>
</file>