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54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钦州市自然资源局 钦州市财政局关于印发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54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《钦州市集体土地房屋征收房票安置管理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54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操作规程（试行）》的通知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54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仿宋" w:hAnsi="仿宋" w:eastAsia="仿宋" w:cs="仿宋"/>
          <w:i w:val="0"/>
          <w:caps w:val="0"/>
          <w:color w:val="000000"/>
          <w:spacing w:val="0"/>
          <w:sz w:val="32"/>
          <w:szCs w:val="32"/>
        </w:rPr>
        <w:t>钦市自然资规〔</w:t>
      </w:r>
      <w:r>
        <w:rPr>
          <w:rFonts w:hint="eastAsia" w:ascii="仿宋" w:hAnsi="仿宋" w:eastAsia="仿宋" w:cs="仿宋"/>
          <w:i w:val="0"/>
          <w:caps w:val="0"/>
          <w:color w:val="000000"/>
          <w:spacing w:val="0"/>
          <w:sz w:val="32"/>
          <w:szCs w:val="32"/>
        </w:rPr>
        <w:t>2022〕1号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540" w:lineRule="exact"/>
        <w:ind w:left="0" w:firstLine="0"/>
        <w:textAlignment w:val="auto"/>
        <w:rPr>
          <w:rFonts w:ascii="sans-serif" w:hAnsi="sans-serif" w:eastAsia="sans-serif" w:cs="sans-serif"/>
          <w:i w:val="0"/>
          <w:caps w:val="0"/>
          <w:color w:val="000000"/>
          <w:spacing w:val="0"/>
          <w:sz w:val="27"/>
          <w:szCs w:val="27"/>
        </w:rPr>
      </w:pPr>
      <w:r>
        <w:rPr>
          <w:rFonts w:ascii="仿宋" w:hAnsi="仿宋" w:eastAsia="仿宋" w:cs="仿宋"/>
          <w:i w:val="0"/>
          <w:caps w:val="0"/>
          <w:color w:val="000000"/>
          <w:spacing w:val="0"/>
          <w:sz w:val="32"/>
          <w:szCs w:val="32"/>
        </w:rPr>
        <w:t>钦南区、钦北区人民政府，各开发区、管理区管委，市直各委、办、局</w:t>
      </w:r>
      <w:r>
        <w:rPr>
          <w:rFonts w:hint="eastAsia" w:ascii="仿宋" w:hAnsi="仿宋" w:eastAsia="仿宋" w:cs="仿宋"/>
          <w:i w:val="0"/>
          <w:caps w:val="0"/>
          <w:color w:val="000000"/>
          <w:spacing w:val="0"/>
          <w:sz w:val="32"/>
          <w:szCs w:val="32"/>
        </w:rPr>
        <w:t>：</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40" w:lineRule="exact"/>
        <w:ind w:left="0" w:right="0" w:firstLine="640" w:firstLineChars="200"/>
        <w:jc w:val="left"/>
        <w:textAlignment w:val="auto"/>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kern w:val="0"/>
          <w:sz w:val="32"/>
          <w:szCs w:val="32"/>
          <w:lang w:val="en-US" w:eastAsia="zh-CN" w:bidi="ar"/>
        </w:rPr>
        <w:t>经市人民政府同意，现将《钦州市集体土地房屋征收房票安置管理操作规程（试行）》印发给你们，请认真贯彻执行。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40" w:lineRule="exact"/>
        <w:ind w:left="0" w:right="0" w:firstLine="0"/>
        <w:jc w:val="left"/>
        <w:textAlignment w:val="auto"/>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40" w:lineRule="exact"/>
        <w:ind w:left="0" w:right="0" w:firstLine="584" w:firstLineChars="200"/>
        <w:jc w:val="left"/>
        <w:textAlignment w:val="auto"/>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14"/>
          <w:kern w:val="0"/>
          <w:sz w:val="32"/>
          <w:szCs w:val="32"/>
          <w:lang w:val="en-US" w:eastAsia="zh-CN" w:bidi="ar"/>
        </w:rPr>
        <w:t>附件：钦州市集体土地房屋征收房票安置管理操作规程（试行）</w:t>
      </w:r>
    </w:p>
    <w:p>
      <w:pPr>
        <w:keepNext w:val="0"/>
        <w:keepLines w:val="0"/>
        <w:widowControl/>
        <w:suppressLineNumbers w:val="0"/>
        <w:spacing w:before="0" w:beforeAutospacing="1" w:after="0" w:afterAutospacing="1" w:line="315" w:lineRule="atLeast"/>
        <w:ind w:left="0" w:right="0" w:firstLine="0"/>
        <w:jc w:val="left"/>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exact"/>
        <w:ind w:left="0" w:right="0" w:firstLine="0"/>
        <w:jc w:val="left"/>
        <w:textAlignment w:val="auto"/>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kern w:val="0"/>
          <w:sz w:val="32"/>
          <w:szCs w:val="32"/>
          <w:lang w:val="en-US" w:eastAsia="zh-CN" w:bidi="ar"/>
        </w:rPr>
        <w:t>                    钦州市自然资源局   钦州市财政局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exact"/>
        <w:ind w:left="0" w:right="0" w:firstLine="0"/>
        <w:jc w:val="left"/>
        <w:textAlignment w:val="auto"/>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kern w:val="0"/>
          <w:sz w:val="32"/>
          <w:szCs w:val="32"/>
          <w:lang w:val="en-US" w:eastAsia="zh-CN" w:bidi="ar"/>
        </w:rPr>
        <w:t>                                 2022年4月18日</w:t>
      </w:r>
    </w:p>
    <w:p>
      <w:pPr>
        <w:shd w:val="clear" w:color="auto" w:fill="FFFFFF"/>
        <w:spacing w:line="600" w:lineRule="exact"/>
        <w:jc w:val="left"/>
        <w:rPr>
          <w:rFonts w:hint="eastAsia" w:ascii="黑体" w:hAnsi="黑体" w:eastAsia="黑体"/>
          <w:sz w:val="32"/>
          <w:szCs w:val="32"/>
        </w:rPr>
      </w:pPr>
    </w:p>
    <w:p>
      <w:pPr>
        <w:shd w:val="clear" w:color="auto" w:fill="FFFFFF"/>
        <w:spacing w:line="600" w:lineRule="exact"/>
        <w:jc w:val="left"/>
        <w:rPr>
          <w:rFonts w:hint="eastAsia" w:ascii="黑体" w:hAnsi="黑体" w:eastAsia="黑体"/>
          <w:sz w:val="32"/>
          <w:szCs w:val="32"/>
        </w:rPr>
      </w:pPr>
    </w:p>
    <w:p>
      <w:pPr>
        <w:shd w:val="clear" w:color="auto" w:fill="FFFFFF"/>
        <w:spacing w:line="600" w:lineRule="exact"/>
        <w:jc w:val="left"/>
        <w:rPr>
          <w:rFonts w:hint="eastAsia" w:ascii="黑体" w:hAnsi="黑体" w:eastAsia="黑体"/>
          <w:sz w:val="32"/>
          <w:szCs w:val="32"/>
        </w:rPr>
      </w:pPr>
    </w:p>
    <w:p>
      <w:pPr>
        <w:shd w:val="clear" w:color="auto" w:fill="FFFFFF"/>
        <w:spacing w:line="600" w:lineRule="exact"/>
        <w:jc w:val="left"/>
        <w:rPr>
          <w:rFonts w:hint="eastAsia" w:ascii="黑体" w:hAnsi="黑体" w:eastAsia="黑体"/>
          <w:sz w:val="32"/>
          <w:szCs w:val="32"/>
        </w:rPr>
      </w:pPr>
    </w:p>
    <w:p>
      <w:pPr>
        <w:shd w:val="clear" w:color="auto" w:fill="FFFFFF"/>
        <w:spacing w:line="600" w:lineRule="exact"/>
        <w:jc w:val="left"/>
        <w:rPr>
          <w:rFonts w:ascii="黑体" w:hAnsi="黑体" w:eastAsia="黑体"/>
          <w:sz w:val="32"/>
          <w:szCs w:val="32"/>
        </w:rPr>
      </w:pPr>
      <w:r>
        <w:rPr>
          <w:rFonts w:hint="eastAsia" w:ascii="黑体" w:hAnsi="黑体" w:eastAsia="黑体"/>
          <w:sz w:val="32"/>
          <w:szCs w:val="32"/>
        </w:rPr>
        <w:t>附件</w:t>
      </w:r>
    </w:p>
    <w:p>
      <w:pPr>
        <w:shd w:val="clear" w:color="auto" w:fill="FFFFFF"/>
        <w:spacing w:line="600" w:lineRule="exact"/>
        <w:ind w:firstLine="1100" w:firstLineChars="250"/>
        <w:rPr>
          <w:rFonts w:hint="eastAsia" w:ascii="方正小标宋_GBK" w:eastAsia="方正小标宋_GBK"/>
          <w:sz w:val="44"/>
          <w:szCs w:val="44"/>
        </w:rPr>
      </w:pPr>
    </w:p>
    <w:p>
      <w:pPr>
        <w:shd w:val="clear" w:color="auto" w:fill="FFFFFF"/>
        <w:spacing w:line="600" w:lineRule="exact"/>
        <w:ind w:firstLine="1100" w:firstLineChars="250"/>
        <w:rPr>
          <w:rFonts w:ascii="方正小标宋_GBK" w:eastAsia="方正小标宋_GBK"/>
          <w:sz w:val="44"/>
          <w:szCs w:val="44"/>
        </w:rPr>
      </w:pPr>
      <w:r>
        <w:rPr>
          <w:rFonts w:hint="eastAsia" w:ascii="方正小标宋_GBK" w:eastAsia="方正小标宋_GBK"/>
          <w:sz w:val="44"/>
          <w:szCs w:val="44"/>
        </w:rPr>
        <w:t>钦州市集体土地房屋征收房票安置</w:t>
      </w:r>
    </w:p>
    <w:p>
      <w:pPr>
        <w:shd w:val="clear" w:color="auto" w:fill="FFFFFF"/>
        <w:spacing w:line="600" w:lineRule="exact"/>
        <w:ind w:firstLine="482"/>
        <w:jc w:val="center"/>
        <w:rPr>
          <w:rFonts w:ascii="方正小标宋_GBK" w:eastAsia="方正小标宋_GBK"/>
          <w:sz w:val="44"/>
          <w:szCs w:val="44"/>
        </w:rPr>
      </w:pPr>
      <w:r>
        <w:rPr>
          <w:rFonts w:hint="eastAsia" w:ascii="方正小标宋_GBK" w:eastAsia="方正小标宋_GBK"/>
          <w:sz w:val="44"/>
          <w:szCs w:val="44"/>
        </w:rPr>
        <w:t>管理操作规程（试行）</w:t>
      </w:r>
    </w:p>
    <w:p>
      <w:pPr>
        <w:spacing w:line="600" w:lineRule="exact"/>
        <w:ind w:firstLine="640" w:firstLineChars="200"/>
        <w:jc w:val="left"/>
        <w:rPr>
          <w:rFonts w:hint="eastAsia" w:ascii="仿宋" w:hAnsi="仿宋" w:eastAsia="仿宋" w:cs="仿宋"/>
          <w:sz w:val="32"/>
          <w:szCs w:val="32"/>
        </w:rPr>
      </w:pPr>
    </w:p>
    <w:p>
      <w:pPr>
        <w:spacing w:line="60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为完善集体土地房屋征收补偿安置方式，满足被搬迁人多元化的安置需求，缩短临时安置过渡时间，提高房屋征收安置工作效率，推进以公寓房安置为主，货币补偿为辅的安置方式，根据《钦州市人民政府办公室关于印发钦州市集体土地征收及房屋搬迁补偿安置工作补充意见的通知》（钦政办规〔2021〕1号），制定本操作规程。</w:t>
      </w:r>
    </w:p>
    <w:p>
      <w:pPr>
        <w:spacing w:line="60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xml:space="preserve">  本规程适用于市主城区和滨海新城规划范围内房票安置。房票由市自然资源局、市财政局制定，市土地储备中心具体管理。</w:t>
      </w:r>
    </w:p>
    <w:p>
      <w:pPr>
        <w:spacing w:line="60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第三条</w:t>
      </w:r>
      <w:r>
        <w:rPr>
          <w:rFonts w:hint="eastAsia" w:ascii="宋体" w:hAnsi="宋体" w:cs="宋体"/>
          <w:sz w:val="32"/>
          <w:szCs w:val="32"/>
        </w:rPr>
        <w:t xml:space="preserve">  </w:t>
      </w:r>
      <w:r>
        <w:rPr>
          <w:rFonts w:hint="eastAsia" w:ascii="仿宋" w:hAnsi="仿宋" w:eastAsia="仿宋" w:cs="仿宋"/>
          <w:sz w:val="32"/>
          <w:szCs w:val="32"/>
        </w:rPr>
        <w:t>房屋搬迁实行房票安置的，在签订安置补偿协议时，由被搬迁人提出申请，填写《钦州市集体土地房屋搬迁房票申请审批表》，由所属乡镇（街道）收到申请后，提出意见转交辖区土地房屋征收中心初审，辖区人民政府复审。</w:t>
      </w:r>
    </w:p>
    <w:p>
      <w:pPr>
        <w:spacing w:line="60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xml:space="preserve">  辖区人民政府复审后将材料报市土地储备中心，市土地储备中心在2个工作日内审核汇总上报市自然资源局，市自然资源局在3个工作日内完成审批送至市财政局，市财政局3个工作日内完成审批。</w:t>
      </w:r>
    </w:p>
    <w:p>
      <w:pPr>
        <w:spacing w:line="60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 xml:space="preserve">第五条  </w:t>
      </w:r>
      <w:r>
        <w:rPr>
          <w:rFonts w:hint="eastAsia" w:ascii="仿宋" w:hAnsi="仿宋" w:eastAsia="仿宋" w:cs="仿宋"/>
          <w:sz w:val="32"/>
          <w:szCs w:val="32"/>
        </w:rPr>
        <w:t>市土地储备中心根据市自然资源局、市财政局审批同意的《钦州市集体土地房屋搬迁房票申请审批表》填写房票，在2个工作日内发放给辖区土地房屋征收中心。</w:t>
      </w:r>
    </w:p>
    <w:p>
      <w:pPr>
        <w:spacing w:line="60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xml:space="preserve">  被搬迁人将原住房腾空交付之日起，向辖区土地房屋征收中心领取房票。</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辖区土地房屋征收中心填写房票使用期限后发放给被搬迁人。</w:t>
      </w:r>
    </w:p>
    <w:p>
      <w:pPr>
        <w:spacing w:line="600" w:lineRule="exact"/>
        <w:ind w:firstLine="640" w:firstLineChars="200"/>
        <w:jc w:val="left"/>
        <w:rPr>
          <w:rFonts w:ascii="仿宋" w:hAnsi="仿宋" w:eastAsia="仿宋" w:cs="仿宋"/>
          <w:sz w:val="32"/>
          <w:szCs w:val="32"/>
        </w:rPr>
      </w:pPr>
      <w:r>
        <w:rPr>
          <w:rFonts w:hint="eastAsia" w:ascii="黑体" w:hAnsi="黑体" w:eastAsia="黑体" w:cs="仿宋"/>
          <w:sz w:val="32"/>
          <w:szCs w:val="32"/>
        </w:rPr>
        <w:t xml:space="preserve">第七条 </w:t>
      </w:r>
      <w:r>
        <w:rPr>
          <w:rFonts w:hint="eastAsia" w:ascii="仿宋" w:hAnsi="仿宋" w:eastAsia="仿宋" w:cs="仿宋"/>
          <w:sz w:val="32"/>
          <w:szCs w:val="32"/>
        </w:rPr>
        <w:t xml:space="preserve"> 房票一式六联（存根联、消费联、结算联一、结算联二、结算联三、结算联四），房票的存根联由市土地储备中心保管，消费联由被搬迁人保管，结算联一、结算联二、结算联三、结算联四由被搬迁人在购房时交由房地产开发企业收取作为结算凭证。</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使用房票时，被搬迁人年满十八周岁以上的所有家庭成员需在房票上签字按手印确认，未满十八周岁由其监护人签字按手印确认。</w:t>
      </w:r>
    </w:p>
    <w:p>
      <w:pPr>
        <w:spacing w:line="600" w:lineRule="exact"/>
        <w:ind w:firstLine="640" w:firstLineChars="200"/>
        <w:rPr>
          <w:rFonts w:ascii="仿宋" w:hAnsi="仿宋" w:eastAsia="仿宋" w:cs="仿宋"/>
          <w:sz w:val="32"/>
          <w:szCs w:val="32"/>
        </w:rPr>
      </w:pPr>
      <w:r>
        <w:rPr>
          <w:rFonts w:hint="eastAsia" w:ascii="黑体" w:hAnsi="黑体" w:eastAsia="黑体" w:cs="仿宋"/>
          <w:sz w:val="32"/>
          <w:szCs w:val="32"/>
        </w:rPr>
        <w:t>第八条</w:t>
      </w:r>
      <w:r>
        <w:rPr>
          <w:rFonts w:hint="eastAsia" w:ascii="仿宋" w:hAnsi="仿宋" w:eastAsia="仿宋" w:cs="仿宋"/>
          <w:sz w:val="32"/>
          <w:szCs w:val="32"/>
        </w:rPr>
        <w:t xml:space="preserve">  市自然资源局和市财政局联合公开发布安置房源征集信息。房地产开发企业按照自愿参与原则，组织房票安置房源,持商品房预售许可证到市自然资源局申请备案。</w:t>
      </w:r>
    </w:p>
    <w:p>
      <w:pPr>
        <w:spacing w:line="600" w:lineRule="exact"/>
        <w:ind w:firstLine="640" w:firstLineChars="200"/>
        <w:rPr>
          <w:rFonts w:ascii="仿宋" w:hAnsi="仿宋" w:eastAsia="仿宋" w:cs="仿宋"/>
          <w:sz w:val="32"/>
          <w:szCs w:val="32"/>
        </w:rPr>
      </w:pPr>
      <w:r>
        <w:rPr>
          <w:rFonts w:hint="eastAsia" w:ascii="黑体" w:hAnsi="黑体" w:eastAsia="黑体" w:cs="仿宋"/>
          <w:sz w:val="32"/>
          <w:szCs w:val="32"/>
        </w:rPr>
        <w:t xml:space="preserve">第九条 </w:t>
      </w:r>
      <w:r>
        <w:rPr>
          <w:rFonts w:hint="eastAsia" w:ascii="仿宋" w:hAnsi="仿宋" w:eastAsia="仿宋" w:cs="仿宋"/>
          <w:sz w:val="32"/>
          <w:szCs w:val="32"/>
        </w:rPr>
        <w:t xml:space="preserve"> 被搬迁人自主选择参与房票安置的商品住房，持房票、征收补偿安置协议与房地产开发企业签订商品房买卖合同后，按照实际使用房票价值填写房票结算联交由房地产开发企业收取。</w:t>
      </w:r>
    </w:p>
    <w:p>
      <w:pPr>
        <w:spacing w:line="600" w:lineRule="exact"/>
        <w:ind w:firstLine="640" w:firstLineChars="200"/>
        <w:jc w:val="left"/>
        <w:rPr>
          <w:rFonts w:ascii="仿宋" w:hAnsi="仿宋" w:eastAsia="仿宋" w:cs="仿宋"/>
          <w:sz w:val="32"/>
          <w:szCs w:val="32"/>
        </w:rPr>
      </w:pPr>
      <w:r>
        <w:rPr>
          <w:rFonts w:hint="eastAsia" w:ascii="黑体" w:hAnsi="黑体" w:eastAsia="黑体" w:cs="仿宋"/>
          <w:sz w:val="32"/>
          <w:szCs w:val="32"/>
        </w:rPr>
        <w:t>第十条</w:t>
      </w:r>
      <w:r>
        <w:rPr>
          <w:rFonts w:hint="eastAsia" w:ascii="仿宋" w:hAnsi="仿宋" w:eastAsia="仿宋" w:cs="仿宋"/>
          <w:sz w:val="32"/>
          <w:szCs w:val="32"/>
        </w:rPr>
        <w:t xml:space="preserve">  被搬迁人房票余额的结算</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被搬迁人在购买房产或房票期限结束后，有余款结算的提供以下材料到辖区土地房屋征收中心申请结算。</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（一）被搬迁人身份证复印件（核原件）；</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（二）房票原件；</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（三）房屋征收补偿安置协议复印件（核原件）；</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（四）《商品房买卖合同》复印件（核原件）；</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（五）商品房销售发票复印件（核原件）；</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（六）被搬迁人房票结算申请审批表。                 </w:t>
      </w:r>
    </w:p>
    <w:p>
      <w:pPr>
        <w:spacing w:line="600" w:lineRule="exact"/>
        <w:ind w:firstLine="800" w:firstLineChars="250"/>
        <w:jc w:val="left"/>
        <w:rPr>
          <w:rFonts w:ascii="仿宋" w:hAnsi="仿宋" w:eastAsia="仿宋" w:cs="仿宋"/>
          <w:sz w:val="32"/>
          <w:szCs w:val="32"/>
        </w:rPr>
      </w:pPr>
      <w:r>
        <w:rPr>
          <w:rFonts w:hint="eastAsia" w:ascii="仿宋" w:hAnsi="仿宋" w:eastAsia="仿宋" w:cs="仿宋"/>
          <w:sz w:val="32"/>
          <w:szCs w:val="32"/>
        </w:rPr>
        <w:t>辖区土地房屋征收中心根据《钦州市人民政府办公室关于印发钦州市集体土地征收及房屋搬迁补偿安置工作补充意见的通知》（钦政办规〔2021〕1号）进行初审，辖区人民政府复审后，向市土地储备中心申请结算。市土地储备中心在3个工作日内审核上报市自然资源局，市自然资源局在3个工作日完成审批送到市财政局，市财政局10个工作日内完成审批并将资金拨付到市土地储备中心，市土地储备中心在3个工作日内拨付到被搬迁人个人账户。</w:t>
      </w:r>
    </w:p>
    <w:p>
      <w:pPr>
        <w:spacing w:line="600" w:lineRule="exact"/>
        <w:ind w:firstLine="640" w:firstLineChars="200"/>
        <w:jc w:val="left"/>
        <w:rPr>
          <w:rFonts w:ascii="仿宋" w:hAnsi="仿宋" w:eastAsia="仿宋" w:cs="仿宋"/>
          <w:sz w:val="32"/>
          <w:szCs w:val="32"/>
        </w:rPr>
      </w:pPr>
      <w:r>
        <w:rPr>
          <w:rFonts w:hint="eastAsia" w:ascii="黑体" w:hAnsi="黑体" w:eastAsia="黑体" w:cs="仿宋"/>
          <w:sz w:val="32"/>
          <w:szCs w:val="32"/>
        </w:rPr>
        <w:t xml:space="preserve">第十一条 </w:t>
      </w:r>
      <w:r>
        <w:rPr>
          <w:rFonts w:hint="eastAsia" w:ascii="仿宋" w:hAnsi="仿宋" w:eastAsia="仿宋" w:cs="仿宋"/>
          <w:sz w:val="32"/>
          <w:szCs w:val="32"/>
        </w:rPr>
        <w:t xml:space="preserve"> 房地产开发企业的结算</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房地产开发企业按不同阶段收集结算所需的材料到市土地储备中心申请结算。</w:t>
      </w:r>
    </w:p>
    <w:p>
      <w:pPr>
        <w:spacing w:line="600" w:lineRule="exact"/>
        <w:ind w:firstLine="800" w:firstLineChars="250"/>
        <w:jc w:val="left"/>
        <w:rPr>
          <w:rFonts w:ascii="仿宋" w:hAnsi="仿宋" w:eastAsia="仿宋" w:cs="仿宋"/>
          <w:sz w:val="32"/>
          <w:szCs w:val="32"/>
        </w:rPr>
      </w:pPr>
      <w:r>
        <w:rPr>
          <w:rFonts w:hint="eastAsia" w:ascii="仿宋" w:hAnsi="仿宋" w:eastAsia="仿宋" w:cs="仿宋"/>
          <w:sz w:val="32"/>
          <w:szCs w:val="32"/>
        </w:rPr>
        <w:t>被搬迁人购买期房的，房地产开发企业与被搬迁人签订《商品房买卖合同（预售）》，取得商品房买卖合同备案证明后可申请结算购房使用房票金额的30%；待房地产开发企业施工进度达到被搬迁人所购买楼栋总层数的一半后，由住建部门出具证明可申请结算购房使用房票金额的20%；取得住建部门主体结构封顶证明后可申请结算购房使用房票金额的30%；取得《广西钦州市商品房现售备案证明》可申请结算购房使用房票金额的20%。</w:t>
      </w:r>
    </w:p>
    <w:p>
      <w:pPr>
        <w:spacing w:line="600" w:lineRule="exact"/>
        <w:ind w:firstLine="800" w:firstLineChars="250"/>
        <w:jc w:val="left"/>
        <w:rPr>
          <w:rFonts w:ascii="仿宋" w:hAnsi="仿宋" w:eastAsia="仿宋" w:cs="仿宋"/>
          <w:sz w:val="32"/>
          <w:szCs w:val="32"/>
        </w:rPr>
      </w:pPr>
      <w:r>
        <w:rPr>
          <w:rFonts w:hint="eastAsia" w:ascii="仿宋" w:hAnsi="仿宋" w:eastAsia="仿宋" w:cs="仿宋"/>
          <w:sz w:val="32"/>
          <w:szCs w:val="32"/>
        </w:rPr>
        <w:t>被搬迁人购买现房的，在房地产开发企业与被搬迁人签订《商品房买卖合同（现售）》并取得商品房买卖合同备案证明后可申请结算购房使用房票金额的30%，交房后可申请结算购房使用房票金额的70%。</w:t>
      </w:r>
    </w:p>
    <w:p>
      <w:pPr>
        <w:spacing w:line="600" w:lineRule="exact"/>
        <w:ind w:firstLine="800" w:firstLineChars="250"/>
        <w:jc w:val="left"/>
        <w:rPr>
          <w:rFonts w:ascii="仿宋" w:hAnsi="仿宋" w:eastAsia="仿宋" w:cs="仿宋"/>
          <w:sz w:val="32"/>
          <w:szCs w:val="32"/>
        </w:rPr>
      </w:pPr>
      <w:r>
        <w:rPr>
          <w:rFonts w:hint="eastAsia" w:ascii="仿宋" w:hAnsi="仿宋" w:eastAsia="仿宋" w:cs="仿宋"/>
          <w:sz w:val="32"/>
          <w:szCs w:val="32"/>
        </w:rPr>
        <w:t>房地产开发企业提交结算申请材料后，市土地储备中心在3个工作日内审核上报市自然资源局，市自然资源局在3个工作日内完成审批送到市财政局，市财政局10个工作日内审批并将资金拨付到市土地储备中心，被搬迁人购买期房的，市土地储备中心在3工作日内将资金拨付到经住建部门监管机构确认的房地产开发企业在预售资金监管银行开设的监管账户；被搬迁人购买现房的，市土地储备中心在3个工作日内拨付到房地产开发企业基本账户上。</w:t>
      </w:r>
    </w:p>
    <w:p>
      <w:pPr>
        <w:spacing w:line="60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xml:space="preserve">  房票遗失后，由被搬迁人年满十八周岁以上的所有家庭成员(未满十八周岁由其监护人代签)持身份证明原件、房屋征收补偿安置协议到辖区土地房屋征收中心如实填写《被搬迁人房票补办申请审批表》，辖区土地房屋征收中心出具声明房票作废的介绍信，被搬迁人凭介绍信到钦州市内登记公开发行的报刊登报，被搬迁人自登报期满10个工作日后持登有房票作废声明的整版报纸、身份证原件及房屋征收补偿安置协议到辖区土地房屋征收中心按原申请房票程序申请补办。</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参与房票安置的房地产开发企业存在房屋质量问题、延期交付房屋、弄虚作假、提供不实信息等行为的，计入不良诚信记录，并终止其参与房票安置的资格，造成损失的应依法承担赔偿责任。</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第十四条 </w:t>
      </w:r>
      <w:r>
        <w:rPr>
          <w:rFonts w:hint="eastAsia" w:ascii="仿宋" w:hAnsi="仿宋" w:eastAsia="仿宋" w:cs="仿宋"/>
          <w:sz w:val="32"/>
          <w:szCs w:val="32"/>
        </w:rPr>
        <w:t xml:space="preserve"> 参与房票安置的房地产开发企业、被搬迁人，不得采取弄虚作假等不正当手段进行房票结算。对采取弄虚作假等不正当手段进行房票结算的，依法追回结算资金并追究法律责任；构成犯罪的，移送司法机关依法追究刑事责任。</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第十五条</w:t>
      </w:r>
      <w:r>
        <w:rPr>
          <w:rFonts w:hint="eastAsia" w:ascii="仿宋" w:hAnsi="仿宋" w:eastAsia="仿宋" w:cs="仿宋"/>
          <w:sz w:val="32"/>
          <w:szCs w:val="32"/>
        </w:rPr>
        <w:t xml:space="preserve">  房票安置工作人员在房票管理工作中不正当履行职责，滥用职权、玩忽职守、徇私舞弊等，对直接负责的主管人员和其他直接责任人员，依法给予处分；构成犯罪的，依法追究刑事责任。</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第十六条</w:t>
      </w:r>
      <w:r>
        <w:rPr>
          <w:rFonts w:hint="eastAsia" w:ascii="仿宋" w:hAnsi="仿宋" w:eastAsia="仿宋" w:cs="仿宋"/>
          <w:sz w:val="32"/>
          <w:szCs w:val="32"/>
        </w:rPr>
        <w:t xml:space="preserve">  房地产开发企业与持房票购买者发生的房屋买卖纠纷，由双方当事人按照房屋买卖合同约定协商解决。</w:t>
      </w:r>
    </w:p>
    <w:p>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第十七条</w:t>
      </w:r>
      <w:r>
        <w:rPr>
          <w:rFonts w:hint="eastAsia" w:ascii="仿宋" w:hAnsi="仿宋" w:eastAsia="仿宋" w:cs="仿宋"/>
          <w:sz w:val="32"/>
          <w:szCs w:val="32"/>
        </w:rPr>
        <w:t xml:space="preserve">  本规程未尽事宜，按我市集体土地安置办法等相关政策办理。</w:t>
      </w:r>
    </w:p>
    <w:p>
      <w:pPr>
        <w:spacing w:line="60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 xml:space="preserve">第十八条 </w:t>
      </w:r>
      <w:r>
        <w:rPr>
          <w:rFonts w:hint="eastAsia" w:ascii="仿宋" w:hAnsi="仿宋" w:eastAsia="仿宋" w:cs="仿宋"/>
          <w:sz w:val="32"/>
          <w:szCs w:val="32"/>
        </w:rPr>
        <w:t xml:space="preserve"> 本规程自公布之日起施行，由市自然资源局和市财政局按职责负责解释。</w:t>
      </w:r>
    </w:p>
    <w:p>
      <w:pPr>
        <w:spacing w:line="600" w:lineRule="exact"/>
        <w:ind w:firstLine="640" w:firstLineChars="200"/>
        <w:jc w:val="left"/>
        <w:rPr>
          <w:rFonts w:hint="eastAsia" w:ascii="仿宋" w:hAnsi="仿宋" w:eastAsia="仿宋" w:cs="仿宋"/>
          <w:sz w:val="32"/>
          <w:szCs w:val="32"/>
        </w:rPr>
      </w:pP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附表：1.钦州市集体土地房屋搬迁房票申请审批表</w:t>
      </w:r>
    </w:p>
    <w:p>
      <w:pPr>
        <w:pStyle w:val="12"/>
        <w:spacing w:line="600" w:lineRule="exact"/>
        <w:ind w:left="1000" w:firstLine="640"/>
        <w:jc w:val="left"/>
        <w:rPr>
          <w:rFonts w:ascii="仿宋" w:hAnsi="仿宋" w:eastAsia="仿宋" w:cs="仿宋"/>
          <w:sz w:val="32"/>
          <w:szCs w:val="32"/>
        </w:rPr>
      </w:pPr>
      <w:r>
        <w:rPr>
          <w:rFonts w:hint="eastAsia" w:ascii="仿宋" w:hAnsi="仿宋" w:eastAsia="仿宋" w:cs="仿宋"/>
          <w:sz w:val="32"/>
          <w:szCs w:val="32"/>
        </w:rPr>
        <w:t>2.房地产开发企业房票结算申请审批表</w:t>
      </w:r>
    </w:p>
    <w:p>
      <w:pPr>
        <w:pStyle w:val="12"/>
        <w:spacing w:line="600" w:lineRule="exact"/>
        <w:ind w:left="1000" w:firstLine="640"/>
        <w:jc w:val="left"/>
        <w:rPr>
          <w:rFonts w:ascii="仿宋" w:hAnsi="仿宋" w:eastAsia="仿宋" w:cs="仿宋"/>
          <w:sz w:val="32"/>
          <w:szCs w:val="32"/>
        </w:rPr>
      </w:pPr>
      <w:r>
        <w:rPr>
          <w:rFonts w:hint="eastAsia" w:ascii="仿宋" w:hAnsi="仿宋" w:eastAsia="仿宋" w:cs="仿宋"/>
          <w:sz w:val="32"/>
          <w:szCs w:val="32"/>
        </w:rPr>
        <w:t>3.被搬迁人房票结算申请审批表</w:t>
      </w:r>
    </w:p>
    <w:p>
      <w:pPr>
        <w:pStyle w:val="12"/>
        <w:spacing w:line="600" w:lineRule="exact"/>
        <w:ind w:left="1000" w:firstLine="640"/>
        <w:jc w:val="left"/>
        <w:rPr>
          <w:rFonts w:ascii="仿宋" w:hAnsi="仿宋" w:eastAsia="仿宋" w:cs="仿宋"/>
          <w:sz w:val="32"/>
          <w:szCs w:val="32"/>
        </w:rPr>
      </w:pPr>
      <w:r>
        <w:rPr>
          <w:rFonts w:hint="eastAsia" w:ascii="仿宋" w:hAnsi="仿宋" w:eastAsia="仿宋" w:cs="仿宋"/>
          <w:sz w:val="32"/>
          <w:szCs w:val="32"/>
        </w:rPr>
        <w:t>4.被搬迁人房票补办申请审批表</w:t>
      </w:r>
    </w:p>
    <w:p>
      <w:pPr>
        <w:spacing w:line="600" w:lineRule="exact"/>
      </w:pPr>
    </w:p>
    <w:sectPr>
      <w:footerReference r:id="rId3" w:type="default"/>
      <w:footerReference r:id="rId4" w:type="even"/>
      <w:pgSz w:w="11906" w:h="16838"/>
      <w:pgMar w:top="2098" w:right="1474" w:bottom="1985" w:left="1588" w:header="709" w:footer="1191" w:gutter="0"/>
      <w:pgNumType w:fmt="numberInDash"/>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054082"/>
      <w:docPartObj>
        <w:docPartGallery w:val="autotext"/>
      </w:docPartObj>
    </w:sdtPr>
    <w:sdtEndPr>
      <w:rPr>
        <w:rFonts w:asciiTheme="majorEastAsia" w:hAnsiTheme="majorEastAsia" w:eastAsiaTheme="majorEastAsia"/>
        <w:sz w:val="28"/>
        <w:szCs w:val="28"/>
      </w:rPr>
    </w:sdtEndPr>
    <w:sdtContent>
      <w:p>
        <w:pPr>
          <w:pStyle w:val="2"/>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5 -</w:t>
        </w:r>
        <w:r>
          <w:rPr>
            <w:rFonts w:asciiTheme="majorEastAsia" w:hAnsiTheme="majorEastAsia" w:eastAsiaTheme="maj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054084"/>
      <w:docPartObj>
        <w:docPartGallery w:val="autotext"/>
      </w:docPartObj>
    </w:sdtPr>
    <w:sdtEndPr>
      <w:rPr>
        <w:rFonts w:asciiTheme="majorEastAsia" w:hAnsiTheme="majorEastAsia" w:eastAsiaTheme="majorEastAsia"/>
        <w:sz w:val="28"/>
        <w:szCs w:val="28"/>
      </w:rPr>
    </w:sdtEndPr>
    <w:sdtContent>
      <w:p>
        <w:pPr>
          <w:pStyle w:val="2"/>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6 -</w:t>
        </w:r>
        <w:r>
          <w:rPr>
            <w:rFonts w:asciiTheme="majorEastAsia" w:hAnsiTheme="majorEastAsia" w:eastAsiaTheme="maj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671BC"/>
    <w:rsid w:val="000076A3"/>
    <w:rsid w:val="00032D58"/>
    <w:rsid w:val="00036FD3"/>
    <w:rsid w:val="000726F4"/>
    <w:rsid w:val="000D25D8"/>
    <w:rsid w:val="000E497D"/>
    <w:rsid w:val="000E60F7"/>
    <w:rsid w:val="000F015A"/>
    <w:rsid w:val="000F70E5"/>
    <w:rsid w:val="00103CB8"/>
    <w:rsid w:val="00120227"/>
    <w:rsid w:val="00120774"/>
    <w:rsid w:val="001220D5"/>
    <w:rsid w:val="0013005D"/>
    <w:rsid w:val="00155C44"/>
    <w:rsid w:val="001671BC"/>
    <w:rsid w:val="0017490A"/>
    <w:rsid w:val="00182F2D"/>
    <w:rsid w:val="00254BD9"/>
    <w:rsid w:val="00260193"/>
    <w:rsid w:val="00274A2D"/>
    <w:rsid w:val="00275390"/>
    <w:rsid w:val="002930DE"/>
    <w:rsid w:val="002C754D"/>
    <w:rsid w:val="002D1215"/>
    <w:rsid w:val="002E0E26"/>
    <w:rsid w:val="002F0F20"/>
    <w:rsid w:val="003070B7"/>
    <w:rsid w:val="003126FF"/>
    <w:rsid w:val="003342FC"/>
    <w:rsid w:val="003470E2"/>
    <w:rsid w:val="00353FE4"/>
    <w:rsid w:val="00390422"/>
    <w:rsid w:val="003D2066"/>
    <w:rsid w:val="00447B15"/>
    <w:rsid w:val="0045528C"/>
    <w:rsid w:val="004745FD"/>
    <w:rsid w:val="004843F2"/>
    <w:rsid w:val="005164C3"/>
    <w:rsid w:val="00531785"/>
    <w:rsid w:val="0053664A"/>
    <w:rsid w:val="005379E5"/>
    <w:rsid w:val="005575E8"/>
    <w:rsid w:val="00576143"/>
    <w:rsid w:val="005A567C"/>
    <w:rsid w:val="005B1CBD"/>
    <w:rsid w:val="00602A49"/>
    <w:rsid w:val="00623094"/>
    <w:rsid w:val="00634518"/>
    <w:rsid w:val="006746B9"/>
    <w:rsid w:val="006804E2"/>
    <w:rsid w:val="006A6069"/>
    <w:rsid w:val="006B132E"/>
    <w:rsid w:val="00700165"/>
    <w:rsid w:val="00701716"/>
    <w:rsid w:val="00702BB9"/>
    <w:rsid w:val="007321C0"/>
    <w:rsid w:val="00753B06"/>
    <w:rsid w:val="0078334A"/>
    <w:rsid w:val="007A33A0"/>
    <w:rsid w:val="007B63E6"/>
    <w:rsid w:val="007C49E5"/>
    <w:rsid w:val="007E436D"/>
    <w:rsid w:val="0080527C"/>
    <w:rsid w:val="00830D84"/>
    <w:rsid w:val="00844379"/>
    <w:rsid w:val="00866356"/>
    <w:rsid w:val="008C588D"/>
    <w:rsid w:val="009612B6"/>
    <w:rsid w:val="009B728F"/>
    <w:rsid w:val="009D52E5"/>
    <w:rsid w:val="00A13954"/>
    <w:rsid w:val="00A3150A"/>
    <w:rsid w:val="00A3441B"/>
    <w:rsid w:val="00A358E3"/>
    <w:rsid w:val="00A77AFE"/>
    <w:rsid w:val="00AB1161"/>
    <w:rsid w:val="00AC7131"/>
    <w:rsid w:val="00AD28C4"/>
    <w:rsid w:val="00AE4934"/>
    <w:rsid w:val="00B04E92"/>
    <w:rsid w:val="00B20EC0"/>
    <w:rsid w:val="00B560E5"/>
    <w:rsid w:val="00B85149"/>
    <w:rsid w:val="00BA50BD"/>
    <w:rsid w:val="00BB4C55"/>
    <w:rsid w:val="00BD5B5F"/>
    <w:rsid w:val="00BD6190"/>
    <w:rsid w:val="00BE00E7"/>
    <w:rsid w:val="00BF32C9"/>
    <w:rsid w:val="00C01936"/>
    <w:rsid w:val="00C13EC2"/>
    <w:rsid w:val="00C163A1"/>
    <w:rsid w:val="00CB2351"/>
    <w:rsid w:val="00CD5FC3"/>
    <w:rsid w:val="00D0084D"/>
    <w:rsid w:val="00D72C60"/>
    <w:rsid w:val="00D7342A"/>
    <w:rsid w:val="00D7488F"/>
    <w:rsid w:val="00D97752"/>
    <w:rsid w:val="00DE1A98"/>
    <w:rsid w:val="00DF37A6"/>
    <w:rsid w:val="00DF5BE2"/>
    <w:rsid w:val="00E2343F"/>
    <w:rsid w:val="00E43E74"/>
    <w:rsid w:val="00E506D1"/>
    <w:rsid w:val="00E54AC7"/>
    <w:rsid w:val="00E87F45"/>
    <w:rsid w:val="00E95C4C"/>
    <w:rsid w:val="00EB03CF"/>
    <w:rsid w:val="00EC79DC"/>
    <w:rsid w:val="00ED03FE"/>
    <w:rsid w:val="00EE144A"/>
    <w:rsid w:val="00EF561D"/>
    <w:rsid w:val="00F74722"/>
    <w:rsid w:val="00F863D7"/>
    <w:rsid w:val="00FB3F4F"/>
    <w:rsid w:val="00FC1DC8"/>
    <w:rsid w:val="00FC7DFC"/>
    <w:rsid w:val="00FD1D17"/>
    <w:rsid w:val="00FE7A4C"/>
    <w:rsid w:val="38B94C57"/>
    <w:rsid w:val="6FDD3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link w:val="9"/>
    <w:qFormat/>
    <w:uiPriority w:val="0"/>
    <w:pPr>
      <w:spacing w:before="240" w:after="60"/>
      <w:jc w:val="center"/>
      <w:outlineLvl w:val="0"/>
    </w:pPr>
    <w:rPr>
      <w:rFonts w:ascii="Cambria" w:hAnsi="Cambria"/>
      <w:b/>
      <w:bCs/>
      <w:sz w:val="32"/>
      <w:szCs w:val="32"/>
    </w:rPr>
  </w:style>
  <w:style w:type="character" w:styleId="8">
    <w:name w:val="Hyperlink"/>
    <w:basedOn w:val="7"/>
    <w:qFormat/>
    <w:uiPriority w:val="0"/>
    <w:rPr>
      <w:color w:val="0000FF" w:themeColor="hyperlink"/>
      <w:u w:val="single"/>
    </w:rPr>
  </w:style>
  <w:style w:type="character" w:customStyle="1" w:styleId="9">
    <w:name w:val="标题 Char"/>
    <w:link w:val="5"/>
    <w:qFormat/>
    <w:uiPriority w:val="0"/>
    <w:rPr>
      <w:rFonts w:ascii="Cambria" w:hAnsi="Cambria"/>
      <w:b/>
      <w:bCs/>
      <w:kern w:val="2"/>
      <w:sz w:val="32"/>
      <w:szCs w:val="32"/>
    </w:rPr>
  </w:style>
  <w:style w:type="character" w:customStyle="1" w:styleId="10">
    <w:name w:val="页眉 Char"/>
    <w:basedOn w:val="7"/>
    <w:link w:val="3"/>
    <w:qFormat/>
    <w:uiPriority w:val="99"/>
    <w:rPr>
      <w:kern w:val="2"/>
      <w:sz w:val="18"/>
      <w:szCs w:val="18"/>
    </w:rPr>
  </w:style>
  <w:style w:type="character" w:customStyle="1" w:styleId="11">
    <w:name w:val="页脚 Char"/>
    <w:basedOn w:val="7"/>
    <w:link w:val="2"/>
    <w:qFormat/>
    <w:uiPriority w:val="99"/>
    <w:rPr>
      <w:kern w:val="2"/>
      <w:sz w:val="18"/>
      <w:szCs w:val="18"/>
    </w:rPr>
  </w:style>
  <w:style w:type="paragraph" w:styleId="12">
    <w:name w:val="List Paragraph"/>
    <w:basedOn w:val="1"/>
    <w:unhideWhenUsed/>
    <w:qFormat/>
    <w:uiPriority w:val="99"/>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383</Words>
  <Characters>2184</Characters>
  <Lines>18</Lines>
  <Paragraphs>5</Paragraphs>
  <TotalTime>683</TotalTime>
  <ScaleCrop>false</ScaleCrop>
  <LinksUpToDate>false</LinksUpToDate>
  <CharactersWithSpaces>2562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2021-09-26T01:32:00Z</dcterms:created>
  <dc:creator>AutoBVT</dc:creator>
  <cp:lastModifiedBy>Administrator</cp:lastModifiedBy>
  <cp:lastPrinted>2022-04-01T10:07:00Z</cp:lastPrinted>
  <dcterms:modified xsi:type="dcterms:W3CDTF">2023-02-20T02:28:55Z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