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right="0" w:rightChars="0"/>
        <w:jc w:val="both"/>
        <w:textAlignment w:val="auto"/>
        <w:outlineLvl w:val="9"/>
        <w:rPr>
          <w:rFonts w:hint="eastAsia" w:ascii="Times New Roman" w:hAnsi="Times New Roman" w:eastAsia="方正仿宋_GBK"/>
          <w:color w:val="000000"/>
          <w:spacing w:val="0"/>
          <w:sz w:val="32"/>
        </w:rPr>
      </w:pPr>
      <w:r>
        <w:rPr>
          <w:rFonts w:hint="eastAsia" w:ascii="方正黑体_GBK" w:hAnsi="方正黑体_GBK" w:eastAsia="方正黑体_GBK" w:cs="方正黑体_GBK"/>
          <w:color w:val="000000"/>
          <w:spacing w:val="0"/>
          <w:sz w:val="32"/>
        </w:rPr>
        <w:t>附件</w:t>
      </w:r>
      <w:r>
        <w:rPr>
          <w:rFonts w:hint="eastAsia" w:ascii="Times New Roman" w:hAnsi="Times New Roman" w:eastAsia="方正仿宋_GBK"/>
          <w:color w:val="000000"/>
          <w:spacing w:val="0"/>
          <w:sz w:val="32"/>
        </w:rPr>
        <w:t>2</w:t>
      </w:r>
    </w:p>
    <w:p>
      <w:pPr>
        <w:keepNext w:val="0"/>
        <w:keepLines w:val="0"/>
        <w:pageBreakBefore w:val="0"/>
        <w:widowControl w:val="0"/>
        <w:kinsoku/>
        <w:wordWrap/>
        <w:overflowPunct/>
        <w:topLinePunct w:val="0"/>
        <w:autoSpaceDE/>
        <w:autoSpaceDN/>
        <w:bidi w:val="0"/>
        <w:adjustRightInd/>
        <w:snapToGrid/>
        <w:spacing w:before="208" w:beforeLines="50" w:after="0" w:afterLines="0" w:line="660" w:lineRule="exact"/>
        <w:ind w:left="0" w:leftChars="0" w:right="0" w:rightChars="0" w:firstLine="0" w:firstLineChars="0"/>
        <w:jc w:val="center"/>
        <w:textAlignment w:val="auto"/>
        <w:outlineLvl w:val="9"/>
        <w:rPr>
          <w:rFonts w:hint="default" w:ascii="Times New Roman" w:hAnsi="Times New Roman" w:eastAsia="方正小标宋_GBK" w:cs="Times New Roman"/>
          <w:color w:val="000000"/>
          <w:spacing w:val="0"/>
          <w:sz w:val="44"/>
          <w:szCs w:val="40"/>
        </w:rPr>
      </w:pPr>
      <w:r>
        <w:rPr>
          <w:rFonts w:hint="default" w:ascii="Times New Roman" w:hAnsi="Times New Roman" w:eastAsia="方正小标宋_GBK" w:cs="Times New Roman"/>
          <w:color w:val="000000"/>
          <w:spacing w:val="0"/>
          <w:sz w:val="44"/>
          <w:szCs w:val="40"/>
        </w:rPr>
        <w:t>南宁至钦州公路（南间至黎合江段）改扩建</w:t>
      </w:r>
    </w:p>
    <w:p>
      <w:pPr>
        <w:keepNext w:val="0"/>
        <w:keepLines w:val="0"/>
        <w:pageBreakBefore w:val="0"/>
        <w:widowControl w:val="0"/>
        <w:kinsoku/>
        <w:wordWrap/>
        <w:overflowPunct/>
        <w:topLinePunct w:val="0"/>
        <w:autoSpaceDE/>
        <w:autoSpaceDN/>
        <w:bidi w:val="0"/>
        <w:adjustRightInd/>
        <w:snapToGrid/>
        <w:spacing w:before="0" w:beforeLines="0" w:after="0" w:afterLines="0" w:line="660" w:lineRule="exact"/>
        <w:ind w:left="0" w:leftChars="0" w:right="0" w:rightChars="0" w:firstLine="0" w:firstLineChars="0"/>
        <w:jc w:val="center"/>
        <w:textAlignment w:val="auto"/>
        <w:outlineLvl w:val="9"/>
        <w:rPr>
          <w:rFonts w:hint="default" w:ascii="Times New Roman" w:hAnsi="Times New Roman" w:eastAsia="方正小标宋_GBK" w:cs="Times New Roman"/>
          <w:color w:val="000000"/>
          <w:spacing w:val="0"/>
          <w:sz w:val="44"/>
          <w:szCs w:val="40"/>
        </w:rPr>
      </w:pPr>
      <w:r>
        <w:rPr>
          <w:rFonts w:hint="default" w:ascii="Times New Roman" w:hAnsi="Times New Roman" w:eastAsia="方正小标宋_GBK" w:cs="Times New Roman"/>
          <w:color w:val="000000"/>
          <w:spacing w:val="0"/>
          <w:sz w:val="44"/>
          <w:szCs w:val="40"/>
        </w:rPr>
        <w:t>项目钦廉林场立石工区7户房屋</w:t>
      </w:r>
    </w:p>
    <w:p>
      <w:pPr>
        <w:keepNext w:val="0"/>
        <w:keepLines w:val="0"/>
        <w:pageBreakBefore w:val="0"/>
        <w:widowControl w:val="0"/>
        <w:kinsoku/>
        <w:wordWrap/>
        <w:overflowPunct/>
        <w:topLinePunct w:val="0"/>
        <w:autoSpaceDE/>
        <w:autoSpaceDN/>
        <w:bidi w:val="0"/>
        <w:adjustRightInd/>
        <w:snapToGrid/>
        <w:spacing w:before="0" w:beforeLines="0" w:after="0" w:afterLines="0" w:line="660" w:lineRule="exact"/>
        <w:ind w:left="0" w:leftChars="0" w:right="0" w:rightChars="0" w:firstLine="0" w:firstLineChars="0"/>
        <w:jc w:val="center"/>
        <w:textAlignment w:val="auto"/>
        <w:outlineLvl w:val="9"/>
        <w:rPr>
          <w:rFonts w:hint="default" w:ascii="Times New Roman" w:hAnsi="Times New Roman" w:eastAsia="方正小标宋_GBK" w:cs="Times New Roman"/>
          <w:color w:val="000000"/>
          <w:spacing w:val="0"/>
          <w:sz w:val="44"/>
          <w:szCs w:val="40"/>
        </w:rPr>
      </w:pPr>
      <w:r>
        <w:rPr>
          <w:rFonts w:hint="default" w:ascii="Times New Roman" w:hAnsi="Times New Roman" w:eastAsia="方正小标宋_GBK" w:cs="Times New Roman"/>
          <w:color w:val="000000"/>
          <w:spacing w:val="0"/>
          <w:sz w:val="44"/>
          <w:szCs w:val="40"/>
        </w:rPr>
        <w:t>征收补偿安置方案</w:t>
      </w:r>
    </w:p>
    <w:p>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640" w:firstLineChars="200"/>
        <w:jc w:val="both"/>
        <w:textAlignment w:val="auto"/>
        <w:outlineLvl w:val="9"/>
        <w:rPr>
          <w:rFonts w:hint="eastAsia" w:ascii="Times New Roman" w:hAnsi="Times New Roman" w:eastAsia="方正仿宋_GBK"/>
          <w:color w:val="000000"/>
          <w:spacing w:val="0"/>
          <w:sz w:val="32"/>
        </w:rPr>
      </w:pPr>
    </w:p>
    <w:p>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640" w:firstLineChars="200"/>
        <w:jc w:val="both"/>
        <w:textAlignment w:val="auto"/>
        <w:outlineLvl w:val="9"/>
        <w:rPr>
          <w:rFonts w:hint="eastAsia" w:ascii="Times New Roman" w:hAnsi="Times New Roman" w:eastAsia="方正仿宋_GBK"/>
          <w:color w:val="000000"/>
          <w:spacing w:val="0"/>
          <w:sz w:val="32"/>
        </w:rPr>
      </w:pPr>
      <w:r>
        <w:rPr>
          <w:rFonts w:hint="eastAsia" w:ascii="Times New Roman" w:hAnsi="Times New Roman" w:eastAsia="方正仿宋_GBK"/>
          <w:color w:val="000000"/>
          <w:spacing w:val="0"/>
          <w:sz w:val="32"/>
        </w:rPr>
        <w:t>为依法推进南宁至钦州公路（南间至黎合江段）改扩建项目钦廉林场立石工区7户群众林场房屋征搬工作，实施国有土地上房屋的征收与补偿，保障被征收人的合法权益，根据《国有土地上房屋征收与补偿条例》（国务院令第590号）</w:t>
      </w:r>
      <w:r>
        <w:rPr>
          <w:rFonts w:hint="eastAsia" w:eastAsia="方正仿宋_GBK"/>
          <w:color w:val="000000"/>
          <w:spacing w:val="0"/>
          <w:sz w:val="32"/>
          <w:lang w:eastAsia="zh-CN"/>
        </w:rPr>
        <w:t>等</w:t>
      </w:r>
      <w:r>
        <w:rPr>
          <w:rFonts w:hint="eastAsia" w:ascii="Times New Roman" w:hAnsi="Times New Roman" w:eastAsia="方正仿宋_GBK"/>
          <w:color w:val="000000"/>
          <w:spacing w:val="0"/>
          <w:sz w:val="32"/>
        </w:rPr>
        <w:t>相关规定，结合实际，制定本方案。</w:t>
      </w:r>
    </w:p>
    <w:p>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640" w:firstLineChars="200"/>
        <w:jc w:val="both"/>
        <w:textAlignment w:val="auto"/>
        <w:outlineLvl w:val="9"/>
        <w:rPr>
          <w:rFonts w:hint="eastAsia" w:ascii="方正黑体_GBK" w:hAnsi="方正黑体_GBK" w:eastAsia="方正黑体_GBK" w:cs="方正黑体_GBK"/>
          <w:color w:val="000000"/>
          <w:spacing w:val="0"/>
          <w:sz w:val="32"/>
        </w:rPr>
      </w:pPr>
      <w:r>
        <w:rPr>
          <w:rFonts w:hint="eastAsia" w:ascii="方正黑体_GBK" w:hAnsi="方正黑体_GBK" w:eastAsia="方正黑体_GBK" w:cs="方正黑体_GBK"/>
          <w:color w:val="000000"/>
          <w:spacing w:val="0"/>
          <w:sz w:val="32"/>
        </w:rPr>
        <w:t>一、基本情况</w:t>
      </w:r>
    </w:p>
    <w:p>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640" w:firstLineChars="200"/>
        <w:jc w:val="both"/>
        <w:textAlignment w:val="auto"/>
        <w:outlineLvl w:val="9"/>
        <w:rPr>
          <w:rFonts w:hint="eastAsia" w:ascii="Times New Roman" w:hAnsi="Times New Roman" w:eastAsia="方正仿宋_GBK"/>
          <w:color w:val="000000"/>
          <w:spacing w:val="0"/>
          <w:sz w:val="32"/>
        </w:rPr>
      </w:pPr>
      <w:r>
        <w:rPr>
          <w:rFonts w:hint="eastAsia" w:ascii="Times New Roman" w:hAnsi="Times New Roman" w:eastAsia="方正仿宋_GBK"/>
          <w:color w:val="000000"/>
          <w:spacing w:val="0"/>
          <w:sz w:val="32"/>
        </w:rPr>
        <w:t>南宁至钦州公路（南间至黎合江段）改扩建项目需征收7户房屋位于钦廉林场立石工区南北二级公路旁。7户林场房屋及附属建（构）筑物约4600平方米，占地约5亩（具体以实际签约为准），1993年建成，1997年在原钦南区建设局分别补办建设用地规划许可证和建设工程规划许可证，1999年经自治区林业厅同意补办使用林地手续（桂林政字〔1999〕59号），房屋占地及建筑面积存在少批多占（建）现象，目前均未办理土地及房屋的不动产权证书。</w:t>
      </w:r>
    </w:p>
    <w:p>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640" w:firstLineChars="200"/>
        <w:jc w:val="both"/>
        <w:textAlignment w:val="auto"/>
        <w:outlineLvl w:val="9"/>
        <w:rPr>
          <w:rFonts w:hint="eastAsia" w:ascii="方正黑体_GBK" w:hAnsi="方正黑体_GBK" w:eastAsia="方正黑体_GBK" w:cs="方正黑体_GBK"/>
          <w:color w:val="000000"/>
          <w:spacing w:val="0"/>
          <w:sz w:val="32"/>
        </w:rPr>
      </w:pPr>
      <w:r>
        <w:rPr>
          <w:rFonts w:hint="eastAsia" w:ascii="方正黑体_GBK" w:hAnsi="方正黑体_GBK" w:eastAsia="方正黑体_GBK" w:cs="方正黑体_GBK"/>
          <w:color w:val="000000"/>
          <w:spacing w:val="0"/>
          <w:sz w:val="32"/>
        </w:rPr>
        <w:t>二、房屋征收部门</w:t>
      </w:r>
    </w:p>
    <w:p>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640" w:firstLineChars="200"/>
        <w:jc w:val="both"/>
        <w:textAlignment w:val="auto"/>
        <w:outlineLvl w:val="9"/>
        <w:rPr>
          <w:rFonts w:hint="eastAsia" w:ascii="Times New Roman" w:hAnsi="Times New Roman" w:eastAsia="方正仿宋_GBK"/>
          <w:color w:val="000000"/>
          <w:spacing w:val="0"/>
          <w:sz w:val="32"/>
        </w:rPr>
      </w:pPr>
      <w:r>
        <w:rPr>
          <w:rFonts w:hint="eastAsia" w:ascii="Times New Roman" w:hAnsi="Times New Roman" w:eastAsia="方正仿宋_GBK"/>
          <w:color w:val="000000"/>
          <w:spacing w:val="0"/>
          <w:sz w:val="32"/>
        </w:rPr>
        <w:t>钦州市住房和城乡建设局作为房屋征收部门，承担本项目房屋征收与补偿的具体工作。</w:t>
      </w:r>
    </w:p>
    <w:p>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640" w:firstLineChars="200"/>
        <w:jc w:val="both"/>
        <w:textAlignment w:val="auto"/>
        <w:outlineLvl w:val="9"/>
        <w:rPr>
          <w:rFonts w:hint="eastAsia" w:ascii="方正黑体_GBK" w:hAnsi="方正黑体_GBK" w:eastAsia="方正黑体_GBK" w:cs="方正黑体_GBK"/>
          <w:color w:val="000000"/>
          <w:spacing w:val="0"/>
          <w:sz w:val="32"/>
        </w:rPr>
      </w:pPr>
      <w:r>
        <w:rPr>
          <w:rFonts w:hint="eastAsia" w:ascii="方正黑体_GBK" w:hAnsi="方正黑体_GBK" w:eastAsia="方正黑体_GBK" w:cs="方正黑体_GBK"/>
          <w:color w:val="000000"/>
          <w:spacing w:val="0"/>
          <w:sz w:val="32"/>
        </w:rPr>
        <w:t>三、实施时间及签约期限</w:t>
      </w:r>
    </w:p>
    <w:p>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640" w:firstLineChars="200"/>
        <w:jc w:val="both"/>
        <w:textAlignment w:val="auto"/>
        <w:outlineLvl w:val="9"/>
        <w:rPr>
          <w:rFonts w:hint="eastAsia" w:ascii="Times New Roman" w:hAnsi="Times New Roman" w:eastAsia="方正仿宋_GBK"/>
          <w:color w:val="000000"/>
          <w:spacing w:val="0"/>
          <w:sz w:val="32"/>
        </w:rPr>
      </w:pPr>
      <w:r>
        <w:rPr>
          <w:rFonts w:hint="eastAsia" w:ascii="Times New Roman" w:hAnsi="Times New Roman" w:eastAsia="方正仿宋_GBK"/>
          <w:color w:val="000000"/>
          <w:spacing w:val="0"/>
          <w:sz w:val="32"/>
        </w:rPr>
        <w:t>实施时间：从房屋征收决定公告之日起。签约期限：房屋征收决定公告之日起5日内。</w:t>
      </w:r>
    </w:p>
    <w:p>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640" w:firstLineChars="200"/>
        <w:jc w:val="both"/>
        <w:textAlignment w:val="auto"/>
        <w:outlineLvl w:val="9"/>
        <w:rPr>
          <w:rFonts w:hint="eastAsia" w:ascii="方正黑体_GBK" w:hAnsi="方正黑体_GBK" w:eastAsia="方正黑体_GBK" w:cs="方正黑体_GBK"/>
          <w:color w:val="000000"/>
          <w:spacing w:val="0"/>
          <w:sz w:val="32"/>
        </w:rPr>
      </w:pPr>
      <w:r>
        <w:rPr>
          <w:rFonts w:hint="eastAsia" w:ascii="方正黑体_GBK" w:hAnsi="方正黑体_GBK" w:eastAsia="方正黑体_GBK" w:cs="方正黑体_GBK"/>
          <w:color w:val="000000"/>
          <w:spacing w:val="0"/>
          <w:sz w:val="32"/>
        </w:rPr>
        <w:t>四、征收房屋的补偿内容</w:t>
      </w:r>
    </w:p>
    <w:p>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640" w:firstLineChars="200"/>
        <w:jc w:val="both"/>
        <w:textAlignment w:val="auto"/>
        <w:outlineLvl w:val="9"/>
        <w:rPr>
          <w:rFonts w:hint="eastAsia" w:ascii="Times New Roman" w:hAnsi="Times New Roman" w:eastAsia="方正仿宋_GBK"/>
          <w:color w:val="000000"/>
          <w:spacing w:val="0"/>
          <w:sz w:val="32"/>
        </w:rPr>
      </w:pPr>
      <w:r>
        <w:rPr>
          <w:rFonts w:hint="eastAsia" w:ascii="Times New Roman" w:hAnsi="Times New Roman" w:eastAsia="方正仿宋_GBK"/>
          <w:color w:val="000000"/>
          <w:spacing w:val="0"/>
          <w:sz w:val="32"/>
        </w:rPr>
        <w:t>主要包括被征收房屋价值的补偿；因征收房屋造成的搬迁、临时安置的补偿；房屋装饰装修及附属设施的补偿等内容。</w:t>
      </w:r>
    </w:p>
    <w:p>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640" w:firstLineChars="200"/>
        <w:jc w:val="both"/>
        <w:textAlignment w:val="auto"/>
        <w:outlineLvl w:val="9"/>
        <w:rPr>
          <w:rFonts w:hint="eastAsia" w:ascii="方正黑体_GBK" w:hAnsi="方正黑体_GBK" w:eastAsia="方正黑体_GBK" w:cs="方正黑体_GBK"/>
          <w:color w:val="000000"/>
          <w:spacing w:val="0"/>
          <w:sz w:val="32"/>
        </w:rPr>
      </w:pPr>
      <w:r>
        <w:rPr>
          <w:rFonts w:hint="eastAsia" w:ascii="方正黑体_GBK" w:hAnsi="方正黑体_GBK" w:eastAsia="方正黑体_GBK" w:cs="方正黑体_GBK"/>
          <w:color w:val="000000"/>
          <w:spacing w:val="0"/>
          <w:sz w:val="32"/>
        </w:rPr>
        <w:t>五、评估机构确定和房屋补偿依据</w:t>
      </w:r>
    </w:p>
    <w:p>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640" w:firstLineChars="200"/>
        <w:jc w:val="both"/>
        <w:textAlignment w:val="auto"/>
        <w:outlineLvl w:val="9"/>
        <w:rPr>
          <w:rFonts w:hint="eastAsia" w:ascii="Times New Roman" w:hAnsi="Times New Roman" w:eastAsia="方正仿宋_GBK"/>
          <w:color w:val="000000"/>
          <w:spacing w:val="0"/>
          <w:sz w:val="32"/>
        </w:rPr>
      </w:pPr>
      <w:r>
        <w:rPr>
          <w:rFonts w:hint="eastAsia" w:ascii="方正楷体_GBK" w:hAnsi="方正楷体_GBK" w:eastAsia="方正楷体_GBK" w:cs="方正楷体_GBK"/>
          <w:color w:val="000000"/>
          <w:spacing w:val="0"/>
          <w:sz w:val="32"/>
        </w:rPr>
        <w:t>（一）评估机构确定。</w:t>
      </w:r>
      <w:r>
        <w:rPr>
          <w:rFonts w:hint="eastAsia" w:ascii="Times New Roman" w:hAnsi="Times New Roman" w:eastAsia="方正仿宋_GBK"/>
          <w:color w:val="000000"/>
          <w:spacing w:val="0"/>
          <w:sz w:val="32"/>
        </w:rPr>
        <w:t>原钦州市土地房屋征收办公室已按程序选定广西中之阳房地产土地资产评估有限公司作为本项目房屋征收补偿评估机构，已开展了前期调查评估。根据《国有土地上房屋征收评估办法》有关规定，同一房屋征收项目评估原则由一家评估机构负责，为确保评估工作连续性，继续保留广西中之阳房地产土地资产评估有限公司作为本项目房屋征收评估机构，评估结果作为房屋征收补偿的依据。</w:t>
      </w:r>
    </w:p>
    <w:p>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640" w:firstLineChars="200"/>
        <w:jc w:val="both"/>
        <w:textAlignment w:val="auto"/>
        <w:outlineLvl w:val="9"/>
        <w:rPr>
          <w:rFonts w:hint="eastAsia" w:ascii="Times New Roman" w:hAnsi="Times New Roman" w:eastAsia="方正仿宋_GBK"/>
          <w:color w:val="000000"/>
          <w:spacing w:val="0"/>
          <w:sz w:val="32"/>
        </w:rPr>
      </w:pPr>
      <w:r>
        <w:rPr>
          <w:rFonts w:hint="eastAsia" w:ascii="方正楷体_GBK" w:hAnsi="方正楷体_GBK" w:eastAsia="方正楷体_GBK" w:cs="方正楷体_GBK"/>
          <w:color w:val="000000"/>
          <w:spacing w:val="0"/>
          <w:sz w:val="32"/>
        </w:rPr>
        <w:t>（二）房屋补偿依据。</w:t>
      </w:r>
      <w:r>
        <w:rPr>
          <w:rFonts w:hint="eastAsia" w:ascii="Times New Roman" w:hAnsi="Times New Roman" w:eastAsia="方正仿宋_GBK"/>
          <w:color w:val="000000"/>
          <w:spacing w:val="0"/>
          <w:sz w:val="32"/>
        </w:rPr>
        <w:t>被征收房屋价值的补偿和房屋装饰装修及附属设施补偿根据评估结果确定；搬迁补助费、临时过渡补助费、固定设施移装补助费、奖励费等具体按照《钦州市中心城区国有土地上房屋征收搬迁补助费、临时安置补助费和奖励标准（试行）》（钦政办〔2012〕21号）、《钦州市集体土地征收及房屋搬迁补偿安置管理办</w:t>
      </w:r>
      <w:r>
        <w:rPr>
          <w:rFonts w:hint="eastAsia" w:eastAsia="方正仿宋_GBK"/>
          <w:color w:val="000000"/>
          <w:spacing w:val="0"/>
          <w:sz w:val="32"/>
          <w:lang w:eastAsia="zh-CN"/>
        </w:rPr>
        <w:t>法</w:t>
      </w:r>
      <w:r>
        <w:rPr>
          <w:rFonts w:hint="eastAsia" w:ascii="Times New Roman" w:hAnsi="Times New Roman" w:eastAsia="方正仿宋_GBK"/>
          <w:color w:val="000000"/>
          <w:spacing w:val="0"/>
          <w:sz w:val="32"/>
        </w:rPr>
        <w:t>》（钦政办〔201</w:t>
      </w:r>
      <w:r>
        <w:rPr>
          <w:rFonts w:hint="eastAsia" w:eastAsia="方正仿宋_GBK"/>
          <w:color w:val="000000"/>
          <w:spacing w:val="0"/>
          <w:sz w:val="32"/>
          <w:lang w:val="en-US" w:eastAsia="zh-CN"/>
        </w:rPr>
        <w:t>7</w:t>
      </w:r>
      <w:r>
        <w:rPr>
          <w:rFonts w:hint="eastAsia" w:ascii="Times New Roman" w:hAnsi="Times New Roman" w:eastAsia="方正仿宋_GBK"/>
          <w:color w:val="000000"/>
          <w:spacing w:val="0"/>
          <w:sz w:val="32"/>
        </w:rPr>
        <w:t>〕</w:t>
      </w:r>
      <w:r>
        <w:rPr>
          <w:rFonts w:hint="eastAsia" w:eastAsia="方正仿宋_GBK"/>
          <w:color w:val="000000"/>
          <w:spacing w:val="0"/>
          <w:sz w:val="32"/>
          <w:lang w:val="en-US" w:eastAsia="zh-CN"/>
        </w:rPr>
        <w:t>114</w:t>
      </w:r>
      <w:r>
        <w:rPr>
          <w:rFonts w:hint="eastAsia" w:ascii="Times New Roman" w:hAnsi="Times New Roman" w:eastAsia="方正仿宋_GBK"/>
          <w:color w:val="000000"/>
          <w:spacing w:val="0"/>
          <w:sz w:val="32"/>
        </w:rPr>
        <w:t>号）执行。</w:t>
      </w:r>
    </w:p>
    <w:p>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640" w:firstLineChars="200"/>
        <w:jc w:val="both"/>
        <w:textAlignment w:val="auto"/>
        <w:outlineLvl w:val="9"/>
        <w:rPr>
          <w:rFonts w:hint="eastAsia" w:ascii="方正黑体_GBK" w:hAnsi="方正黑体_GBK" w:eastAsia="方正黑体_GBK" w:cs="方正黑体_GBK"/>
          <w:color w:val="000000"/>
          <w:spacing w:val="0"/>
          <w:sz w:val="32"/>
        </w:rPr>
      </w:pPr>
      <w:r>
        <w:rPr>
          <w:rFonts w:hint="eastAsia" w:ascii="方正黑体_GBK" w:hAnsi="方正黑体_GBK" w:eastAsia="方正黑体_GBK" w:cs="方正黑体_GBK"/>
          <w:color w:val="000000"/>
          <w:spacing w:val="0"/>
          <w:sz w:val="32"/>
        </w:rPr>
        <w:t>六、房屋征收补偿安置方式</w:t>
      </w:r>
    </w:p>
    <w:p>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640" w:firstLineChars="200"/>
        <w:jc w:val="both"/>
        <w:textAlignment w:val="auto"/>
        <w:outlineLvl w:val="9"/>
        <w:rPr>
          <w:rFonts w:hint="eastAsia" w:ascii="Times New Roman" w:hAnsi="Times New Roman" w:eastAsia="方正仿宋_GBK"/>
          <w:color w:val="000000"/>
          <w:spacing w:val="0"/>
          <w:sz w:val="32"/>
        </w:rPr>
      </w:pPr>
      <w:r>
        <w:rPr>
          <w:rFonts w:hint="eastAsia" w:ascii="Times New Roman" w:hAnsi="Times New Roman" w:eastAsia="方正仿宋_GBK"/>
          <w:color w:val="000000"/>
          <w:spacing w:val="0"/>
          <w:sz w:val="32"/>
        </w:rPr>
        <w:t>本项目采用房屋产权调换和货币补偿两种补偿方式。</w:t>
      </w:r>
    </w:p>
    <w:p>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640" w:firstLineChars="200"/>
        <w:jc w:val="both"/>
        <w:textAlignment w:val="auto"/>
        <w:outlineLvl w:val="9"/>
        <w:rPr>
          <w:rFonts w:hint="eastAsia" w:ascii="方正楷体_GBK" w:hAnsi="方正楷体_GBK" w:eastAsia="方正楷体_GBK" w:cs="方正楷体_GBK"/>
          <w:color w:val="000000"/>
          <w:spacing w:val="0"/>
          <w:sz w:val="32"/>
        </w:rPr>
      </w:pPr>
      <w:r>
        <w:rPr>
          <w:rFonts w:hint="eastAsia" w:ascii="方正楷体_GBK" w:hAnsi="方正楷体_GBK" w:eastAsia="方正楷体_GBK" w:cs="方正楷体_GBK"/>
          <w:color w:val="000000"/>
          <w:spacing w:val="0"/>
          <w:sz w:val="32"/>
        </w:rPr>
        <w:t>（一）房屋产权调换。</w:t>
      </w:r>
    </w:p>
    <w:p>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640" w:firstLineChars="200"/>
        <w:jc w:val="both"/>
        <w:textAlignment w:val="auto"/>
        <w:outlineLvl w:val="9"/>
        <w:rPr>
          <w:rFonts w:hint="eastAsia" w:ascii="Times New Roman" w:hAnsi="Times New Roman" w:eastAsia="方正仿宋_GBK"/>
          <w:color w:val="000000"/>
          <w:spacing w:val="0"/>
          <w:sz w:val="32"/>
        </w:rPr>
      </w:pPr>
      <w:r>
        <w:rPr>
          <w:rFonts w:hint="eastAsia" w:ascii="Times New Roman" w:hAnsi="Times New Roman" w:eastAsia="方正仿宋_GBK"/>
          <w:color w:val="000000"/>
          <w:spacing w:val="0"/>
          <w:sz w:val="32"/>
        </w:rPr>
        <w:t>房屋产权调换包含土地补偿及房屋重置价值补偿。</w:t>
      </w:r>
    </w:p>
    <w:p>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640" w:firstLineChars="200"/>
        <w:jc w:val="both"/>
        <w:textAlignment w:val="auto"/>
        <w:outlineLvl w:val="9"/>
        <w:rPr>
          <w:rFonts w:hint="eastAsia" w:ascii="Times New Roman" w:hAnsi="Times New Roman" w:eastAsia="方正仿宋_GBK"/>
          <w:color w:val="000000"/>
          <w:spacing w:val="0"/>
          <w:sz w:val="32"/>
        </w:rPr>
      </w:pPr>
      <w:r>
        <w:rPr>
          <w:rFonts w:hint="eastAsia" w:ascii="Times New Roman" w:hAnsi="Times New Roman" w:eastAsia="方正仿宋_GBK"/>
          <w:color w:val="000000"/>
          <w:spacing w:val="0"/>
          <w:sz w:val="32"/>
        </w:rPr>
        <w:t>1.</w:t>
      </w:r>
      <w:r>
        <w:rPr>
          <w:rFonts w:hint="eastAsia" w:eastAsia="方正仿宋_GBK"/>
          <w:color w:val="000000"/>
          <w:spacing w:val="0"/>
          <w:sz w:val="32"/>
          <w:lang w:val="en-US" w:eastAsia="zh-CN"/>
        </w:rPr>
        <w:t xml:space="preserve"> </w:t>
      </w:r>
      <w:r>
        <w:rPr>
          <w:rFonts w:hint="eastAsia" w:ascii="Times New Roman" w:hAnsi="Times New Roman" w:eastAsia="方正仿宋_GBK"/>
          <w:color w:val="000000"/>
          <w:spacing w:val="0"/>
          <w:sz w:val="32"/>
        </w:rPr>
        <w:t>土地补偿。</w:t>
      </w:r>
    </w:p>
    <w:p>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640" w:firstLineChars="200"/>
        <w:jc w:val="both"/>
        <w:textAlignment w:val="auto"/>
        <w:outlineLvl w:val="9"/>
        <w:rPr>
          <w:rFonts w:hint="eastAsia" w:ascii="Times New Roman" w:hAnsi="Times New Roman" w:eastAsia="方正仿宋_GBK"/>
          <w:color w:val="000000"/>
          <w:spacing w:val="0"/>
          <w:sz w:val="32"/>
        </w:rPr>
      </w:pPr>
      <w:r>
        <w:rPr>
          <w:rFonts w:hint="eastAsia" w:ascii="Times New Roman" w:hAnsi="Times New Roman" w:eastAsia="方正仿宋_GBK"/>
          <w:color w:val="000000"/>
          <w:spacing w:val="0"/>
          <w:sz w:val="32"/>
        </w:rPr>
        <w:t>（1）房屋产权调换用地选址在钦陆公路西面银湖安置点。房屋产权调换用地现为钦廉林场国有林地，收回该钦廉林场国有林地所需土地补偿款由被征收人与钦廉林场协商，由被征收人支付，钦州市人民政府办理该用地划拨手续给被征收人。如钦廉林场无偿提供银湖安置点用地给被征收人，则钦州市人民政府无偿办理该用地划拨手续给被征收人。</w:t>
      </w:r>
    </w:p>
    <w:p>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640" w:firstLineChars="200"/>
        <w:jc w:val="both"/>
        <w:textAlignment w:val="auto"/>
        <w:outlineLvl w:val="9"/>
        <w:rPr>
          <w:rFonts w:hint="eastAsia" w:ascii="Times New Roman" w:hAnsi="Times New Roman" w:eastAsia="方正仿宋_GBK"/>
          <w:color w:val="000000"/>
          <w:spacing w:val="0"/>
          <w:sz w:val="32"/>
        </w:rPr>
      </w:pPr>
      <w:r>
        <w:rPr>
          <w:rFonts w:hint="eastAsia" w:ascii="Times New Roman" w:hAnsi="Times New Roman" w:eastAsia="方正仿宋_GBK"/>
          <w:color w:val="000000"/>
          <w:spacing w:val="0"/>
          <w:sz w:val="32"/>
        </w:rPr>
        <w:t>（2）按被征收房屋《建设用地规划许可证》记载的用地面积实行“占一补一”等面积置换房屋产权调换用地，用地的底层占地面积为《建设用地规划许可证》记载的面积减去阳台投影面积。</w:t>
      </w:r>
    </w:p>
    <w:p>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640" w:firstLineChars="200"/>
        <w:jc w:val="both"/>
        <w:textAlignment w:val="auto"/>
        <w:outlineLvl w:val="9"/>
        <w:rPr>
          <w:rFonts w:hint="eastAsia" w:ascii="Times New Roman" w:hAnsi="Times New Roman" w:eastAsia="方正仿宋_GBK"/>
          <w:color w:val="000000"/>
          <w:spacing w:val="0"/>
          <w:sz w:val="32"/>
        </w:rPr>
      </w:pPr>
      <w:r>
        <w:rPr>
          <w:rFonts w:hint="eastAsia" w:ascii="Times New Roman" w:hAnsi="Times New Roman" w:eastAsia="方正仿宋_GBK"/>
          <w:color w:val="000000"/>
          <w:spacing w:val="0"/>
          <w:sz w:val="32"/>
        </w:rPr>
        <w:t>（3）项目业主中交钦州公路发展有限公司需完成房屋产权调换用地银湖安置点的“三通一平”及建好按规定确定的房屋基础±0.00标高以下部分。</w:t>
      </w:r>
    </w:p>
    <w:p>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640" w:firstLineChars="200"/>
        <w:jc w:val="both"/>
        <w:textAlignment w:val="auto"/>
        <w:outlineLvl w:val="9"/>
        <w:rPr>
          <w:rFonts w:hint="eastAsia" w:ascii="Times New Roman" w:hAnsi="Times New Roman" w:eastAsia="方正仿宋_GBK"/>
          <w:color w:val="000000"/>
          <w:spacing w:val="0"/>
          <w:sz w:val="32"/>
        </w:rPr>
      </w:pPr>
      <w:r>
        <w:rPr>
          <w:rFonts w:hint="eastAsia" w:ascii="Times New Roman" w:hAnsi="Times New Roman" w:eastAsia="方正仿宋_GBK"/>
          <w:color w:val="000000"/>
          <w:spacing w:val="0"/>
          <w:sz w:val="32"/>
        </w:rPr>
        <w:t>（4）搬迁户置换回建用地选择方式实行“先签先选、同时签抽签定”的原则，由钦州市住房和城乡建设局提供经规划部门审批的钦廉林场职工自建房搬迁安置总平面图供搬迁户选择，搬迁户领取补偿款后按规定自行回建，回建房屋的报建费用原审批手续部分由项目业主承担，超出部分由被征收人承担。</w:t>
      </w:r>
    </w:p>
    <w:p>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640" w:firstLineChars="200"/>
        <w:jc w:val="both"/>
        <w:textAlignment w:val="auto"/>
        <w:outlineLvl w:val="9"/>
        <w:rPr>
          <w:rFonts w:hint="eastAsia" w:ascii="Times New Roman" w:hAnsi="Times New Roman" w:eastAsia="方正仿宋_GBK"/>
          <w:color w:val="000000"/>
          <w:spacing w:val="0"/>
          <w:sz w:val="32"/>
        </w:rPr>
      </w:pPr>
      <w:r>
        <w:rPr>
          <w:rFonts w:hint="eastAsia" w:ascii="Times New Roman" w:hAnsi="Times New Roman" w:eastAsia="方正仿宋_GBK"/>
          <w:color w:val="000000"/>
          <w:spacing w:val="0"/>
          <w:sz w:val="32"/>
        </w:rPr>
        <w:t>2. 房屋重置价值补偿。</w:t>
      </w:r>
    </w:p>
    <w:p>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640" w:firstLineChars="200"/>
        <w:jc w:val="both"/>
        <w:textAlignment w:val="auto"/>
        <w:outlineLvl w:val="9"/>
        <w:rPr>
          <w:rFonts w:hint="eastAsia" w:ascii="Times New Roman" w:hAnsi="Times New Roman" w:eastAsia="方正仿宋_GBK"/>
          <w:color w:val="000000"/>
          <w:spacing w:val="0"/>
          <w:sz w:val="32"/>
        </w:rPr>
      </w:pPr>
      <w:r>
        <w:rPr>
          <w:rFonts w:hint="eastAsia" w:ascii="Times New Roman" w:hAnsi="Times New Roman" w:eastAsia="方正仿宋_GBK"/>
          <w:color w:val="000000"/>
          <w:spacing w:val="0"/>
          <w:sz w:val="32"/>
        </w:rPr>
        <w:t>被征收房屋的价值，由选定的房地产价格评估机构按照房屋征收有关法律、法规等有关规定进行评估，评估报告作为征收补偿依据。</w:t>
      </w:r>
    </w:p>
    <w:p>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640" w:firstLineChars="200"/>
        <w:jc w:val="both"/>
        <w:textAlignment w:val="auto"/>
        <w:outlineLvl w:val="9"/>
        <w:rPr>
          <w:rFonts w:hint="eastAsia" w:ascii="Times New Roman" w:hAnsi="Times New Roman" w:eastAsia="方正仿宋_GBK"/>
          <w:color w:val="000000"/>
          <w:spacing w:val="0"/>
          <w:sz w:val="32"/>
        </w:rPr>
      </w:pPr>
      <w:r>
        <w:rPr>
          <w:rFonts w:hint="eastAsia" w:ascii="Times New Roman" w:hAnsi="Times New Roman" w:eastAsia="方正仿宋_GBK"/>
          <w:color w:val="000000"/>
          <w:spacing w:val="0"/>
          <w:sz w:val="32"/>
        </w:rPr>
        <w:t>（1）对于被征收房屋建筑面积的认定。办理有《建设用地规划许可证》</w:t>
      </w:r>
      <w:r>
        <w:rPr>
          <w:rFonts w:hint="eastAsia" w:eastAsia="方正仿宋_GBK"/>
          <w:color w:val="000000"/>
          <w:spacing w:val="0"/>
          <w:sz w:val="32"/>
          <w:lang w:eastAsia="zh-CN"/>
        </w:rPr>
        <w:t>、</w:t>
      </w:r>
      <w:r>
        <w:rPr>
          <w:rFonts w:hint="eastAsia" w:ascii="Times New Roman" w:hAnsi="Times New Roman" w:eastAsia="方正仿宋_GBK"/>
          <w:color w:val="000000"/>
          <w:spacing w:val="0"/>
          <w:sz w:val="32"/>
        </w:rPr>
        <w:t>《建设工程规划许可证》的，为在《建设工程规划许可证》规定范围内的实建建筑面积。实建建筑面积由具有相应资质的房产测绘单位出具的测绘成果确认，按建造重置价值（包含房屋装修价值）评估进行货币补偿；</w:t>
      </w:r>
    </w:p>
    <w:p>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640" w:firstLineChars="200"/>
        <w:jc w:val="both"/>
        <w:textAlignment w:val="auto"/>
        <w:outlineLvl w:val="9"/>
        <w:rPr>
          <w:rFonts w:hint="eastAsia" w:ascii="Times New Roman" w:hAnsi="Times New Roman" w:eastAsia="方正仿宋_GBK"/>
          <w:color w:val="000000"/>
          <w:spacing w:val="0"/>
          <w:sz w:val="32"/>
        </w:rPr>
      </w:pPr>
      <w:r>
        <w:rPr>
          <w:rFonts w:hint="eastAsia" w:ascii="Times New Roman" w:hAnsi="Times New Roman" w:eastAsia="方正仿宋_GBK"/>
          <w:color w:val="000000"/>
          <w:spacing w:val="0"/>
          <w:sz w:val="32"/>
        </w:rPr>
        <w:t>（2）对无报建手续的建筑物，在签约期限内签约并在限期内拆除的，参照《钦州市集体土地征收及房屋搬迁补偿安置管理办</w:t>
      </w:r>
      <w:r>
        <w:rPr>
          <w:rFonts w:hint="eastAsia" w:eastAsia="方正仿宋_GBK"/>
          <w:color w:val="000000"/>
          <w:spacing w:val="0"/>
          <w:sz w:val="32"/>
          <w:lang w:eastAsia="zh-CN"/>
        </w:rPr>
        <w:t>法</w:t>
      </w:r>
      <w:r>
        <w:rPr>
          <w:rFonts w:hint="eastAsia" w:ascii="Times New Roman" w:hAnsi="Times New Roman" w:eastAsia="方正仿宋_GBK"/>
          <w:color w:val="000000"/>
          <w:spacing w:val="0"/>
          <w:sz w:val="32"/>
        </w:rPr>
        <w:t>》（钦政办〔2017〕114号）第24条规定，可根据建构筑物的结构给予一定材料费补助，框架结构每平方米补助350元、砖混结构每平方米补助300元、砖木和钢架结构每平方米补助200元、简易结构每平方米补助100元。</w:t>
      </w:r>
    </w:p>
    <w:p>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640" w:firstLineChars="200"/>
        <w:jc w:val="both"/>
        <w:textAlignment w:val="auto"/>
        <w:outlineLvl w:val="9"/>
        <w:rPr>
          <w:rFonts w:hint="eastAsia" w:ascii="Times New Roman" w:hAnsi="Times New Roman" w:eastAsia="方正仿宋_GBK"/>
          <w:color w:val="000000"/>
          <w:spacing w:val="0"/>
          <w:sz w:val="32"/>
        </w:rPr>
      </w:pPr>
      <w:r>
        <w:rPr>
          <w:rFonts w:hint="eastAsia" w:ascii="Times New Roman" w:hAnsi="Times New Roman" w:eastAsia="方正仿宋_GBK"/>
          <w:color w:val="000000"/>
          <w:spacing w:val="0"/>
          <w:sz w:val="32"/>
        </w:rPr>
        <w:t>（3）以下房屋或建构筑物等，不予补偿。</w:t>
      </w:r>
    </w:p>
    <w:p>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640" w:firstLineChars="200"/>
        <w:jc w:val="both"/>
        <w:textAlignment w:val="auto"/>
        <w:outlineLvl w:val="9"/>
        <w:rPr>
          <w:rFonts w:hint="eastAsia" w:ascii="Times New Roman" w:hAnsi="Times New Roman" w:eastAsia="方正仿宋_GBK"/>
          <w:color w:val="000000"/>
          <w:spacing w:val="0"/>
          <w:sz w:val="32"/>
        </w:rPr>
      </w:pPr>
      <w:r>
        <w:rPr>
          <w:rFonts w:hint="eastAsia" w:ascii="Times New Roman" w:hAnsi="Times New Roman" w:eastAsia="方正仿宋_GBK"/>
          <w:color w:val="000000"/>
          <w:spacing w:val="0"/>
          <w:sz w:val="32"/>
        </w:rPr>
        <w:t>①征收范围确定后，突击建设的房屋等建筑物、附属物、装饰装潢部分，突击移植的果树苗木部分。</w:t>
      </w:r>
    </w:p>
    <w:p>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640" w:firstLineChars="200"/>
        <w:jc w:val="both"/>
        <w:textAlignment w:val="auto"/>
        <w:outlineLvl w:val="9"/>
        <w:rPr>
          <w:rFonts w:hint="eastAsia" w:ascii="Times New Roman" w:hAnsi="Times New Roman" w:eastAsia="方正仿宋_GBK"/>
          <w:color w:val="000000"/>
          <w:spacing w:val="0"/>
          <w:sz w:val="32"/>
        </w:rPr>
      </w:pPr>
      <w:r>
        <w:rPr>
          <w:rFonts w:hint="eastAsia" w:ascii="Times New Roman" w:hAnsi="Times New Roman" w:eastAsia="方正仿宋_GBK"/>
          <w:color w:val="000000"/>
          <w:spacing w:val="0"/>
          <w:sz w:val="32"/>
        </w:rPr>
        <w:t>②经住房城乡建设、自然资源、城管执法等部门调查认定应不予补偿的建（构）筑物。</w:t>
      </w:r>
    </w:p>
    <w:p>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640" w:firstLineChars="200"/>
        <w:jc w:val="both"/>
        <w:textAlignment w:val="auto"/>
        <w:outlineLvl w:val="9"/>
        <w:rPr>
          <w:rFonts w:hint="eastAsia" w:ascii="方正楷体_GBK" w:hAnsi="方正楷体_GBK" w:eastAsia="方正楷体_GBK" w:cs="方正楷体_GBK"/>
          <w:color w:val="000000"/>
          <w:spacing w:val="0"/>
          <w:sz w:val="32"/>
        </w:rPr>
      </w:pPr>
      <w:r>
        <w:rPr>
          <w:rFonts w:hint="eastAsia" w:ascii="方正楷体_GBK" w:hAnsi="方正楷体_GBK" w:eastAsia="方正楷体_GBK" w:cs="方正楷体_GBK"/>
          <w:color w:val="000000"/>
          <w:spacing w:val="0"/>
          <w:sz w:val="32"/>
        </w:rPr>
        <w:t>（二）货币补偿。</w:t>
      </w:r>
    </w:p>
    <w:p>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640" w:firstLineChars="200"/>
        <w:jc w:val="both"/>
        <w:textAlignment w:val="auto"/>
        <w:outlineLvl w:val="9"/>
        <w:rPr>
          <w:rFonts w:hint="eastAsia" w:ascii="Times New Roman" w:hAnsi="Times New Roman" w:eastAsia="方正仿宋_GBK"/>
          <w:color w:val="000000"/>
          <w:spacing w:val="0"/>
          <w:sz w:val="32"/>
        </w:rPr>
      </w:pPr>
      <w:r>
        <w:rPr>
          <w:rFonts w:hint="eastAsia" w:ascii="Times New Roman" w:hAnsi="Times New Roman" w:eastAsia="方正仿宋_GBK"/>
          <w:color w:val="000000"/>
          <w:spacing w:val="0"/>
          <w:sz w:val="32"/>
        </w:rPr>
        <w:t>1.</w:t>
      </w:r>
      <w:r>
        <w:rPr>
          <w:rFonts w:hint="eastAsia" w:eastAsia="方正仿宋_GBK"/>
          <w:color w:val="000000"/>
          <w:spacing w:val="0"/>
          <w:sz w:val="32"/>
          <w:lang w:val="en-US" w:eastAsia="zh-CN"/>
        </w:rPr>
        <w:t xml:space="preserve"> </w:t>
      </w:r>
      <w:r>
        <w:rPr>
          <w:rFonts w:hint="eastAsia" w:ascii="Times New Roman" w:hAnsi="Times New Roman" w:eastAsia="方正仿宋_GBK"/>
          <w:color w:val="000000"/>
          <w:spacing w:val="0"/>
          <w:sz w:val="32"/>
        </w:rPr>
        <w:t>被征收房屋取得《建设用地规划许可证》、《建设工程规划许可证》并已建成房屋的，按实建建筑面积补偿。实建建筑面积由具有相应资质的房产测绘单位出具的测绘成果确认。被征收房屋价值的补偿，不得低于房屋征收决定公告之日被征收房屋类似房地产的市场价格。被征收房屋的价值，由选定的房屋征收评估机构评估确定。</w:t>
      </w:r>
    </w:p>
    <w:p>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640" w:firstLineChars="200"/>
        <w:jc w:val="both"/>
        <w:textAlignment w:val="auto"/>
        <w:outlineLvl w:val="9"/>
        <w:rPr>
          <w:rFonts w:hint="eastAsia" w:ascii="Times New Roman" w:hAnsi="Times New Roman" w:eastAsia="方正仿宋_GBK"/>
          <w:color w:val="000000"/>
          <w:spacing w:val="0"/>
          <w:sz w:val="32"/>
        </w:rPr>
      </w:pPr>
      <w:r>
        <w:rPr>
          <w:rFonts w:hint="eastAsia" w:ascii="Times New Roman" w:hAnsi="Times New Roman" w:eastAsia="方正仿宋_GBK"/>
          <w:color w:val="000000"/>
          <w:spacing w:val="0"/>
          <w:sz w:val="32"/>
        </w:rPr>
        <w:t>2.</w:t>
      </w:r>
      <w:r>
        <w:rPr>
          <w:rFonts w:hint="eastAsia" w:eastAsia="方正仿宋_GBK"/>
          <w:color w:val="000000"/>
          <w:spacing w:val="0"/>
          <w:sz w:val="32"/>
          <w:lang w:val="en-US" w:eastAsia="zh-CN"/>
        </w:rPr>
        <w:t xml:space="preserve"> </w:t>
      </w:r>
      <w:r>
        <w:rPr>
          <w:rFonts w:hint="eastAsia" w:ascii="Times New Roman" w:hAnsi="Times New Roman" w:eastAsia="方正仿宋_GBK"/>
          <w:color w:val="000000"/>
          <w:spacing w:val="0"/>
          <w:sz w:val="32"/>
        </w:rPr>
        <w:t>对无报建手续的建筑物，在签约期限内签约并在限期内拆除的，</w:t>
      </w:r>
      <w:r>
        <w:rPr>
          <w:rFonts w:hint="eastAsia" w:eastAsia="方正仿宋_GBK"/>
          <w:color w:val="000000"/>
          <w:spacing w:val="0"/>
          <w:sz w:val="32"/>
          <w:lang w:eastAsia="zh-CN"/>
        </w:rPr>
        <w:t>按</w:t>
      </w:r>
      <w:r>
        <w:rPr>
          <w:rFonts w:hint="eastAsia" w:ascii="Times New Roman" w:hAnsi="Times New Roman" w:eastAsia="方正仿宋_GBK"/>
          <w:color w:val="000000"/>
          <w:spacing w:val="0"/>
          <w:sz w:val="32"/>
        </w:rPr>
        <w:t>照《钦州市集体土地征收及房屋搬迁补偿安置管理办</w:t>
      </w:r>
      <w:r>
        <w:rPr>
          <w:rFonts w:hint="eastAsia" w:eastAsia="方正仿宋_GBK"/>
          <w:color w:val="000000"/>
          <w:spacing w:val="0"/>
          <w:sz w:val="32"/>
          <w:lang w:eastAsia="zh-CN"/>
        </w:rPr>
        <w:t>法</w:t>
      </w:r>
      <w:r>
        <w:rPr>
          <w:rFonts w:hint="eastAsia" w:ascii="Times New Roman" w:hAnsi="Times New Roman" w:eastAsia="方正仿宋_GBK"/>
          <w:color w:val="000000"/>
          <w:spacing w:val="0"/>
          <w:sz w:val="32"/>
        </w:rPr>
        <w:t>》（钦政办〔2017〕114号）第24条规定，可根据建构筑物的结构给予一定材料费补助，框架结构每平方米补助350元、砖混结构每平方米补助300元、砖木和钢架结构每平方米补助200元、简易结构每平方米补助100元。</w:t>
      </w:r>
    </w:p>
    <w:p>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640" w:firstLineChars="200"/>
        <w:jc w:val="both"/>
        <w:textAlignment w:val="auto"/>
        <w:outlineLvl w:val="9"/>
        <w:rPr>
          <w:rFonts w:hint="eastAsia" w:ascii="Times New Roman" w:hAnsi="Times New Roman" w:eastAsia="方正仿宋_GBK"/>
          <w:color w:val="000000"/>
          <w:spacing w:val="0"/>
          <w:sz w:val="32"/>
        </w:rPr>
      </w:pPr>
      <w:r>
        <w:rPr>
          <w:rFonts w:hint="eastAsia" w:ascii="Times New Roman" w:hAnsi="Times New Roman" w:eastAsia="方正仿宋_GBK"/>
          <w:color w:val="000000"/>
          <w:spacing w:val="0"/>
          <w:sz w:val="32"/>
        </w:rPr>
        <w:t>3.</w:t>
      </w:r>
      <w:r>
        <w:rPr>
          <w:rFonts w:hint="eastAsia" w:eastAsia="方正仿宋_GBK"/>
          <w:color w:val="000000"/>
          <w:spacing w:val="0"/>
          <w:sz w:val="32"/>
          <w:lang w:val="en-US" w:eastAsia="zh-CN"/>
        </w:rPr>
        <w:t xml:space="preserve"> </w:t>
      </w:r>
      <w:r>
        <w:rPr>
          <w:rFonts w:hint="eastAsia" w:ascii="Times New Roman" w:hAnsi="Times New Roman" w:eastAsia="方正仿宋_GBK"/>
          <w:color w:val="000000"/>
          <w:spacing w:val="0"/>
          <w:sz w:val="32"/>
        </w:rPr>
        <w:t>房屋装修的补偿根据评估公司出具的装修评估结果确定货币补偿数额。</w:t>
      </w:r>
    </w:p>
    <w:p>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640" w:firstLineChars="200"/>
        <w:jc w:val="both"/>
        <w:textAlignment w:val="auto"/>
        <w:outlineLvl w:val="9"/>
        <w:rPr>
          <w:rFonts w:hint="eastAsia" w:ascii="方正黑体_GBK" w:hAnsi="方正黑体_GBK" w:eastAsia="方正黑体_GBK" w:cs="方正黑体_GBK"/>
          <w:color w:val="000000"/>
          <w:spacing w:val="0"/>
          <w:sz w:val="32"/>
        </w:rPr>
      </w:pPr>
      <w:r>
        <w:rPr>
          <w:rFonts w:hint="eastAsia" w:ascii="方正黑体_GBK" w:hAnsi="方正黑体_GBK" w:eastAsia="方正黑体_GBK" w:cs="方正黑体_GBK"/>
          <w:color w:val="000000"/>
          <w:spacing w:val="0"/>
          <w:sz w:val="32"/>
        </w:rPr>
        <w:t>七、搬迁补助费、临时安置补助费和奖励标准</w:t>
      </w:r>
    </w:p>
    <w:p>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640" w:firstLineChars="200"/>
        <w:jc w:val="both"/>
        <w:textAlignment w:val="auto"/>
        <w:outlineLvl w:val="9"/>
        <w:rPr>
          <w:rFonts w:hint="eastAsia" w:ascii="Times New Roman" w:hAnsi="Times New Roman" w:eastAsia="方正仿宋_GBK"/>
          <w:color w:val="000000"/>
          <w:spacing w:val="0"/>
          <w:sz w:val="32"/>
        </w:rPr>
      </w:pPr>
      <w:r>
        <w:rPr>
          <w:rFonts w:hint="eastAsia" w:ascii="Times New Roman" w:hAnsi="Times New Roman" w:eastAsia="方正仿宋_GBK"/>
          <w:color w:val="000000"/>
          <w:spacing w:val="0"/>
          <w:sz w:val="32"/>
        </w:rPr>
        <w:t>根据《钦州市中心城区国有土地上房屋征收搬迁补助费、临时安置补助费和奖励标准（试行）》（钦政办〔2012〕21号），具体如下：</w:t>
      </w:r>
    </w:p>
    <w:p>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640" w:firstLineChars="200"/>
        <w:jc w:val="both"/>
        <w:textAlignment w:val="auto"/>
        <w:outlineLvl w:val="9"/>
        <w:rPr>
          <w:rFonts w:hint="eastAsia" w:ascii="Times New Roman" w:hAnsi="Times New Roman" w:eastAsia="方正仿宋_GBK"/>
          <w:color w:val="000000"/>
          <w:spacing w:val="0"/>
          <w:sz w:val="32"/>
        </w:rPr>
      </w:pPr>
      <w:r>
        <w:rPr>
          <w:rFonts w:hint="eastAsia" w:ascii="方正楷体_GBK" w:hAnsi="方正楷体_GBK" w:eastAsia="方正楷体_GBK" w:cs="方正楷体_GBK"/>
          <w:color w:val="000000"/>
          <w:spacing w:val="0"/>
          <w:sz w:val="32"/>
        </w:rPr>
        <w:t>（一）搬迁补助费。</w:t>
      </w:r>
      <w:r>
        <w:rPr>
          <w:rFonts w:hint="eastAsia" w:ascii="Times New Roman" w:hAnsi="Times New Roman" w:eastAsia="方正仿宋_GBK"/>
          <w:color w:val="000000"/>
          <w:spacing w:val="0"/>
          <w:sz w:val="32"/>
        </w:rPr>
        <w:t>按被征收房屋合法建筑面积每平方米12元补助，每户不足2000元的，补足2000元。</w:t>
      </w:r>
    </w:p>
    <w:p>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640" w:firstLineChars="200"/>
        <w:jc w:val="both"/>
        <w:textAlignment w:val="auto"/>
        <w:outlineLvl w:val="9"/>
        <w:rPr>
          <w:rFonts w:hint="eastAsia" w:ascii="方正楷体_GBK" w:hAnsi="方正楷体_GBK" w:eastAsia="方正楷体_GBK" w:cs="方正楷体_GBK"/>
          <w:color w:val="000000"/>
          <w:spacing w:val="0"/>
          <w:sz w:val="32"/>
        </w:rPr>
      </w:pPr>
      <w:r>
        <w:rPr>
          <w:rFonts w:hint="eastAsia" w:ascii="方正楷体_GBK" w:hAnsi="方正楷体_GBK" w:eastAsia="方正楷体_GBK" w:cs="方正楷体_GBK"/>
          <w:color w:val="000000"/>
          <w:spacing w:val="0"/>
          <w:sz w:val="32"/>
        </w:rPr>
        <w:t>（二）临时过渡补助费。</w:t>
      </w:r>
    </w:p>
    <w:p>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640" w:firstLineChars="200"/>
        <w:jc w:val="both"/>
        <w:textAlignment w:val="auto"/>
        <w:outlineLvl w:val="9"/>
        <w:rPr>
          <w:rFonts w:hint="eastAsia" w:ascii="Times New Roman" w:hAnsi="Times New Roman" w:eastAsia="方正仿宋_GBK"/>
          <w:color w:val="000000"/>
          <w:spacing w:val="0"/>
          <w:sz w:val="32"/>
        </w:rPr>
      </w:pPr>
      <w:r>
        <w:rPr>
          <w:rFonts w:hint="eastAsia" w:ascii="Times New Roman" w:hAnsi="Times New Roman" w:eastAsia="方正仿宋_GBK"/>
          <w:color w:val="000000"/>
          <w:spacing w:val="0"/>
          <w:sz w:val="32"/>
        </w:rPr>
        <w:t>支付标准：按被征收房屋合法建筑面积计算，每月每平方米的临时过渡补助费12元，每户每月不足1500元的补足1500元。被征收人选择房屋产权调换安置方式，支付期间为签订补偿协议之日起至被征收人获得安置回建用地后12个月止；被征收人选择货币补偿方式，支付期间为签订补偿协议后6个月。被征收人可以选择征收部门提供的过渡周转房过渡，过渡周转房由中交钦州公路发展有限公司提供，被征收房屋合法建筑面积小于或等于过渡周转房建筑面积时，不支付临时安置补助费；被征收房屋合法建筑面积超出过渡周转房建筑面积时，超出部分建筑面积按每月每平方</w:t>
      </w:r>
      <w:r>
        <w:rPr>
          <w:rFonts w:hint="eastAsia" w:eastAsia="方正仿宋_GBK"/>
          <w:color w:val="000000"/>
          <w:spacing w:val="0"/>
          <w:sz w:val="32"/>
          <w:lang w:eastAsia="zh-CN"/>
        </w:rPr>
        <w:t>米</w:t>
      </w:r>
      <w:r>
        <w:rPr>
          <w:rFonts w:hint="eastAsia" w:ascii="Times New Roman" w:hAnsi="Times New Roman" w:eastAsia="方正仿宋_GBK"/>
          <w:color w:val="000000"/>
          <w:spacing w:val="0"/>
          <w:sz w:val="32"/>
        </w:rPr>
        <w:t>12元的标准支付临时过渡补助费。</w:t>
      </w:r>
    </w:p>
    <w:p>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596" w:firstLineChars="200"/>
        <w:jc w:val="both"/>
        <w:textAlignment w:val="auto"/>
        <w:outlineLvl w:val="9"/>
        <w:rPr>
          <w:rFonts w:hint="eastAsia" w:ascii="Times New Roman" w:hAnsi="Times New Roman" w:eastAsia="方正仿宋_GBK"/>
          <w:color w:val="000000"/>
          <w:spacing w:val="-11"/>
          <w:sz w:val="32"/>
        </w:rPr>
      </w:pPr>
      <w:r>
        <w:rPr>
          <w:rFonts w:hint="eastAsia" w:ascii="Times New Roman" w:hAnsi="Times New Roman" w:eastAsia="方正仿宋_GBK"/>
          <w:color w:val="000000"/>
          <w:spacing w:val="-11"/>
          <w:sz w:val="32"/>
        </w:rPr>
        <w:t>（三）搬家（迁）误工费。每户300元/次，临时过渡的计2次。</w:t>
      </w:r>
    </w:p>
    <w:p>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616" w:firstLineChars="200"/>
        <w:jc w:val="both"/>
        <w:textAlignment w:val="auto"/>
        <w:outlineLvl w:val="9"/>
        <w:rPr>
          <w:rFonts w:hint="eastAsia" w:ascii="Times New Roman" w:hAnsi="Times New Roman" w:eastAsia="方正仿宋_GBK"/>
          <w:color w:val="000000"/>
          <w:spacing w:val="0"/>
          <w:sz w:val="32"/>
        </w:rPr>
      </w:pPr>
      <w:r>
        <w:rPr>
          <w:rFonts w:hint="eastAsia" w:ascii="Times New Roman" w:hAnsi="Times New Roman" w:eastAsia="方正仿宋_GBK"/>
          <w:color w:val="000000"/>
          <w:spacing w:val="-6"/>
          <w:sz w:val="32"/>
        </w:rPr>
        <w:t xml:space="preserve">（四）固定设施移装补助费。因房屋征收涉及电话移机以及有线电视、水电、宽带迁装等费用的，按如下规定的标准给予补助： </w:t>
      </w:r>
    </w:p>
    <w:tbl>
      <w:tblPr>
        <w:tblStyle w:val="3"/>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186"/>
        <w:gridCol w:w="5475"/>
        <w:gridCol w:w="4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57" w:hRule="atLeast"/>
          <w:jc w:val="center"/>
        </w:trPr>
        <w:tc>
          <w:tcPr>
            <w:tcW w:w="318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Style w:val="5"/>
                <w:rFonts w:hint="eastAsia" w:ascii="方正黑体_GBK" w:hAnsi="方正黑体_GBK" w:eastAsia="方正黑体_GBK" w:cs="方正黑体_GBK"/>
                <w:color w:val="000000"/>
                <w:sz w:val="28"/>
                <w:szCs w:val="28"/>
              </w:rPr>
            </w:pPr>
            <w:r>
              <w:rPr>
                <w:rStyle w:val="5"/>
                <w:rFonts w:hint="eastAsia" w:ascii="方正黑体_GBK" w:hAnsi="方正黑体_GBK" w:eastAsia="方正黑体_GBK" w:cs="方正黑体_GBK"/>
                <w:color w:val="000000"/>
                <w:sz w:val="28"/>
                <w:szCs w:val="28"/>
              </w:rPr>
              <w:t>项目</w:t>
            </w:r>
          </w:p>
        </w:tc>
        <w:tc>
          <w:tcPr>
            <w:tcW w:w="5952"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Style w:val="5"/>
                <w:rFonts w:hint="eastAsia" w:ascii="方正黑体_GBK" w:hAnsi="方正黑体_GBK" w:eastAsia="方正黑体_GBK" w:cs="方正黑体_GBK"/>
                <w:color w:val="000000"/>
                <w:sz w:val="28"/>
                <w:szCs w:val="28"/>
              </w:rPr>
            </w:pPr>
            <w:r>
              <w:rPr>
                <w:rStyle w:val="5"/>
                <w:rFonts w:hint="eastAsia" w:ascii="方正黑体_GBK" w:hAnsi="方正黑体_GBK" w:eastAsia="方正黑体_GBK" w:cs="方正黑体_GBK"/>
                <w:color w:val="000000"/>
                <w:sz w:val="28"/>
                <w:szCs w:val="28"/>
              </w:rPr>
              <w:t>补助标准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30" w:hRule="atLeast"/>
          <w:jc w:val="center"/>
        </w:trPr>
        <w:tc>
          <w:tcPr>
            <w:tcW w:w="318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Style w:val="5"/>
                <w:rFonts w:hint="default" w:ascii="Times New Roman" w:hAnsi="Times New Roman" w:eastAsia="方正仿宋_GBK" w:cs="Times New Roman"/>
                <w:color w:val="000000"/>
                <w:sz w:val="28"/>
                <w:szCs w:val="28"/>
              </w:rPr>
            </w:pPr>
            <w:r>
              <w:rPr>
                <w:rStyle w:val="5"/>
                <w:rFonts w:hint="default" w:ascii="Times New Roman" w:hAnsi="Times New Roman" w:eastAsia="方正仿宋_GBK" w:cs="Times New Roman"/>
                <w:color w:val="000000"/>
                <w:sz w:val="28"/>
                <w:szCs w:val="28"/>
              </w:rPr>
              <w:t>电话、宽带网迁移费</w:t>
            </w:r>
          </w:p>
        </w:tc>
        <w:tc>
          <w:tcPr>
            <w:tcW w:w="54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Style w:val="5"/>
                <w:rFonts w:hint="default" w:ascii="Times New Roman" w:hAnsi="Times New Roman" w:eastAsia="方正仿宋_GBK" w:cs="Times New Roman"/>
                <w:color w:val="000000"/>
                <w:sz w:val="28"/>
                <w:szCs w:val="28"/>
              </w:rPr>
            </w:pPr>
            <w:r>
              <w:rPr>
                <w:rStyle w:val="5"/>
                <w:rFonts w:hint="default" w:ascii="Times New Roman" w:hAnsi="Times New Roman" w:eastAsia="方正仿宋_GBK" w:cs="Times New Roman"/>
                <w:color w:val="000000"/>
                <w:sz w:val="28"/>
                <w:szCs w:val="28"/>
              </w:rPr>
              <w:t>按电信部门的迁移收费标准：每号60元。限于在电信部门登记注册的用户。</w:t>
            </w:r>
          </w:p>
        </w:tc>
        <w:tc>
          <w:tcPr>
            <w:tcW w:w="477"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Style w:val="5"/>
                <w:rFonts w:hint="default" w:ascii="Times New Roman" w:hAnsi="Times New Roman" w:eastAsia="方正仿宋_GBK" w:cs="Times New Roman"/>
                <w:color w:val="000000"/>
                <w:sz w:val="28"/>
                <w:szCs w:val="28"/>
              </w:rPr>
            </w:pPr>
            <w:r>
              <w:rPr>
                <w:rStyle w:val="5"/>
                <w:rFonts w:hint="default" w:ascii="Times New Roman" w:hAnsi="Times New Roman" w:eastAsia="方正仿宋_GBK" w:cs="Times New Roman"/>
                <w:color w:val="000000"/>
                <w:sz w:val="28"/>
                <w:szCs w:val="28"/>
              </w:rPr>
              <w:t>不含材料费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36" w:hRule="atLeast"/>
          <w:jc w:val="center"/>
        </w:trPr>
        <w:tc>
          <w:tcPr>
            <w:tcW w:w="318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Style w:val="5"/>
                <w:rFonts w:hint="default" w:ascii="Times New Roman" w:hAnsi="Times New Roman" w:eastAsia="方正仿宋_GBK" w:cs="Times New Roman"/>
                <w:color w:val="000000"/>
                <w:sz w:val="28"/>
                <w:szCs w:val="28"/>
              </w:rPr>
            </w:pPr>
            <w:r>
              <w:rPr>
                <w:rStyle w:val="5"/>
                <w:rFonts w:hint="default" w:ascii="Times New Roman" w:hAnsi="Times New Roman" w:eastAsia="方正仿宋_GBK" w:cs="Times New Roman"/>
                <w:color w:val="000000"/>
                <w:sz w:val="28"/>
                <w:szCs w:val="28"/>
              </w:rPr>
              <w:t>有线电视迁移费</w:t>
            </w:r>
          </w:p>
        </w:tc>
        <w:tc>
          <w:tcPr>
            <w:tcW w:w="54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Style w:val="5"/>
                <w:rFonts w:hint="default" w:ascii="Times New Roman" w:hAnsi="Times New Roman" w:eastAsia="方正仿宋_GBK" w:cs="Times New Roman"/>
                <w:color w:val="000000"/>
                <w:sz w:val="28"/>
                <w:szCs w:val="28"/>
              </w:rPr>
            </w:pPr>
            <w:r>
              <w:rPr>
                <w:rStyle w:val="5"/>
                <w:rFonts w:hint="default" w:ascii="Times New Roman" w:hAnsi="Times New Roman" w:eastAsia="方正仿宋_GBK" w:cs="Times New Roman"/>
                <w:color w:val="000000"/>
                <w:sz w:val="28"/>
                <w:szCs w:val="28"/>
              </w:rPr>
              <w:t>按广电部门的迁移收费标准：每个终端50元。限于在广电部门登记注册的用户。</w:t>
            </w:r>
          </w:p>
        </w:tc>
        <w:tc>
          <w:tcPr>
            <w:tcW w:w="477"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Style w:val="5"/>
                <w:rFonts w:hint="default" w:ascii="Times New Roman" w:hAnsi="Times New Roman" w:eastAsia="方正仿宋_GBK" w:cs="Times New Roman"/>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602" w:hRule="atLeast"/>
          <w:jc w:val="center"/>
        </w:trPr>
        <w:tc>
          <w:tcPr>
            <w:tcW w:w="318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Style w:val="5"/>
                <w:rFonts w:hint="default" w:ascii="Times New Roman" w:hAnsi="Times New Roman" w:eastAsia="方正仿宋_GBK" w:cs="Times New Roman"/>
                <w:color w:val="000000"/>
                <w:sz w:val="28"/>
                <w:szCs w:val="28"/>
              </w:rPr>
            </w:pPr>
            <w:r>
              <w:rPr>
                <w:rStyle w:val="5"/>
                <w:rFonts w:hint="default" w:ascii="Times New Roman" w:hAnsi="Times New Roman" w:eastAsia="方正仿宋_GBK" w:cs="Times New Roman"/>
                <w:color w:val="000000"/>
                <w:sz w:val="28"/>
                <w:szCs w:val="28"/>
              </w:rPr>
              <w:t>水一户一表安装费</w:t>
            </w:r>
          </w:p>
        </w:tc>
        <w:tc>
          <w:tcPr>
            <w:tcW w:w="54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Style w:val="5"/>
                <w:rFonts w:hint="default" w:ascii="Times New Roman" w:hAnsi="Times New Roman" w:eastAsia="方正仿宋_GBK" w:cs="Times New Roman"/>
                <w:color w:val="000000"/>
                <w:sz w:val="28"/>
                <w:szCs w:val="28"/>
              </w:rPr>
            </w:pPr>
            <w:r>
              <w:rPr>
                <w:rStyle w:val="5"/>
                <w:rFonts w:hint="default" w:ascii="Times New Roman" w:hAnsi="Times New Roman" w:eastAsia="方正仿宋_GBK" w:cs="Times New Roman"/>
                <w:color w:val="000000"/>
                <w:sz w:val="28"/>
                <w:szCs w:val="28"/>
              </w:rPr>
              <w:t>按500元/户进行补助。</w:t>
            </w:r>
          </w:p>
        </w:tc>
        <w:tc>
          <w:tcPr>
            <w:tcW w:w="477"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Style w:val="5"/>
                <w:rFonts w:hint="default" w:ascii="Times New Roman" w:hAnsi="Times New Roman" w:eastAsia="方正仿宋_GBK" w:cs="Times New Roman"/>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88" w:hRule="atLeast"/>
          <w:jc w:val="center"/>
        </w:trPr>
        <w:tc>
          <w:tcPr>
            <w:tcW w:w="318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Style w:val="5"/>
                <w:rFonts w:hint="default" w:ascii="Times New Roman" w:hAnsi="Times New Roman" w:eastAsia="方正仿宋_GBK" w:cs="Times New Roman"/>
                <w:color w:val="000000"/>
                <w:sz w:val="28"/>
                <w:szCs w:val="28"/>
              </w:rPr>
            </w:pPr>
            <w:r>
              <w:rPr>
                <w:rStyle w:val="5"/>
                <w:rFonts w:hint="default" w:ascii="Times New Roman" w:hAnsi="Times New Roman" w:eastAsia="方正仿宋_GBK" w:cs="Times New Roman"/>
                <w:color w:val="000000"/>
                <w:sz w:val="28"/>
                <w:szCs w:val="28"/>
              </w:rPr>
              <w:t>电一户一表安装费</w:t>
            </w:r>
          </w:p>
        </w:tc>
        <w:tc>
          <w:tcPr>
            <w:tcW w:w="54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Style w:val="5"/>
                <w:rFonts w:hint="default" w:ascii="Times New Roman" w:hAnsi="Times New Roman" w:eastAsia="方正仿宋_GBK" w:cs="Times New Roman"/>
                <w:color w:val="000000"/>
                <w:sz w:val="28"/>
                <w:szCs w:val="28"/>
              </w:rPr>
            </w:pPr>
            <w:r>
              <w:rPr>
                <w:rStyle w:val="5"/>
                <w:rFonts w:hint="default" w:ascii="Times New Roman" w:hAnsi="Times New Roman" w:eastAsia="方正仿宋_GBK" w:cs="Times New Roman"/>
                <w:color w:val="000000"/>
                <w:sz w:val="28"/>
                <w:szCs w:val="28"/>
              </w:rPr>
              <w:t>按500元/户进行补助。</w:t>
            </w:r>
          </w:p>
        </w:tc>
        <w:tc>
          <w:tcPr>
            <w:tcW w:w="477"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Style w:val="5"/>
                <w:rFonts w:hint="default" w:ascii="Times New Roman" w:hAnsi="Times New Roman" w:eastAsia="方正仿宋_GBK" w:cs="Times New Roman"/>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665" w:hRule="atLeast"/>
          <w:jc w:val="center"/>
        </w:trPr>
        <w:tc>
          <w:tcPr>
            <w:tcW w:w="318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360" w:lineRule="exact"/>
              <w:ind w:right="-249"/>
              <w:jc w:val="center"/>
              <w:textAlignment w:val="auto"/>
              <w:rPr>
                <w:rStyle w:val="5"/>
                <w:rFonts w:hint="default" w:ascii="Times New Roman" w:hAnsi="Times New Roman" w:eastAsia="方正仿宋_GBK" w:cs="Times New Roman"/>
                <w:color w:val="000000"/>
                <w:sz w:val="28"/>
                <w:szCs w:val="28"/>
              </w:rPr>
            </w:pPr>
            <w:r>
              <w:rPr>
                <w:rStyle w:val="5"/>
                <w:rFonts w:hint="default" w:ascii="Times New Roman" w:hAnsi="Times New Roman" w:eastAsia="方正仿宋_GBK" w:cs="Times New Roman"/>
                <w:color w:val="000000"/>
                <w:sz w:val="28"/>
                <w:szCs w:val="28"/>
              </w:rPr>
              <w:t>三相电源安装费</w:t>
            </w:r>
          </w:p>
        </w:tc>
        <w:tc>
          <w:tcPr>
            <w:tcW w:w="5952"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Style w:val="5"/>
                <w:rFonts w:hint="default" w:ascii="Times New Roman" w:hAnsi="Times New Roman" w:eastAsia="方正仿宋_GBK" w:cs="Times New Roman"/>
                <w:color w:val="000000"/>
                <w:sz w:val="28"/>
                <w:szCs w:val="28"/>
              </w:rPr>
            </w:pPr>
            <w:r>
              <w:rPr>
                <w:rStyle w:val="5"/>
                <w:rFonts w:hint="default" w:ascii="Times New Roman" w:hAnsi="Times New Roman" w:eastAsia="方正仿宋_GBK" w:cs="Times New Roman"/>
                <w:color w:val="000000"/>
                <w:sz w:val="28"/>
                <w:szCs w:val="28"/>
              </w:rPr>
              <w:t>1500元/户，限于在供电部门登记注册的用户。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673" w:hRule="atLeast"/>
          <w:jc w:val="center"/>
        </w:trPr>
        <w:tc>
          <w:tcPr>
            <w:tcW w:w="318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Style w:val="5"/>
                <w:rFonts w:hint="default" w:ascii="Times New Roman" w:hAnsi="Times New Roman" w:eastAsia="方正仿宋_GBK" w:cs="Times New Roman"/>
                <w:color w:val="000000"/>
                <w:sz w:val="28"/>
                <w:szCs w:val="28"/>
              </w:rPr>
            </w:pPr>
            <w:r>
              <w:rPr>
                <w:rStyle w:val="5"/>
                <w:rFonts w:hint="default" w:ascii="Times New Roman" w:hAnsi="Times New Roman" w:eastAsia="方正仿宋_GBK" w:cs="Times New Roman"/>
                <w:color w:val="000000"/>
                <w:sz w:val="28"/>
                <w:szCs w:val="28"/>
              </w:rPr>
              <w:t>空调迁移费</w:t>
            </w:r>
          </w:p>
        </w:tc>
        <w:tc>
          <w:tcPr>
            <w:tcW w:w="5952"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Style w:val="5"/>
                <w:rFonts w:hint="default" w:ascii="Times New Roman" w:hAnsi="Times New Roman" w:eastAsia="方正仿宋_GBK" w:cs="Times New Roman"/>
                <w:color w:val="000000"/>
                <w:sz w:val="28"/>
                <w:szCs w:val="28"/>
              </w:rPr>
            </w:pPr>
            <w:r>
              <w:rPr>
                <w:rStyle w:val="5"/>
                <w:rFonts w:hint="default" w:ascii="Times New Roman" w:hAnsi="Times New Roman" w:eastAsia="方正仿宋_GBK" w:cs="Times New Roman"/>
                <w:color w:val="000000"/>
                <w:sz w:val="28"/>
                <w:szCs w:val="28"/>
              </w:rPr>
              <w:t>挂式200元/台/次、柜式300元/台/次。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37" w:hRule="atLeast"/>
          <w:jc w:val="center"/>
        </w:trPr>
        <w:tc>
          <w:tcPr>
            <w:tcW w:w="318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Style w:val="5"/>
                <w:rFonts w:hint="default" w:ascii="Times New Roman" w:hAnsi="Times New Roman" w:eastAsia="方正仿宋_GBK" w:cs="Times New Roman"/>
                <w:color w:val="000000"/>
                <w:sz w:val="28"/>
                <w:szCs w:val="28"/>
              </w:rPr>
            </w:pPr>
            <w:r>
              <w:rPr>
                <w:rStyle w:val="5"/>
                <w:rFonts w:hint="default" w:ascii="Times New Roman" w:hAnsi="Times New Roman" w:eastAsia="方正仿宋_GBK" w:cs="Times New Roman"/>
                <w:color w:val="000000"/>
                <w:sz w:val="28"/>
                <w:szCs w:val="28"/>
              </w:rPr>
              <w:t>太阳能拆装费</w:t>
            </w:r>
          </w:p>
        </w:tc>
        <w:tc>
          <w:tcPr>
            <w:tcW w:w="5952"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Style w:val="5"/>
                <w:rFonts w:hint="default" w:ascii="Times New Roman" w:hAnsi="Times New Roman" w:eastAsia="方正仿宋_GBK" w:cs="Times New Roman"/>
                <w:color w:val="000000"/>
                <w:sz w:val="28"/>
                <w:szCs w:val="28"/>
              </w:rPr>
            </w:pPr>
            <w:r>
              <w:rPr>
                <w:rStyle w:val="5"/>
                <w:rFonts w:hint="default" w:ascii="Times New Roman" w:hAnsi="Times New Roman" w:eastAsia="方正仿宋_GBK" w:cs="Times New Roman"/>
                <w:color w:val="000000"/>
                <w:sz w:val="28"/>
                <w:szCs w:val="28"/>
              </w:rPr>
              <w:t>500元/台。</w:t>
            </w:r>
          </w:p>
        </w:tc>
      </w:tr>
    </w:tbl>
    <w:p>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640" w:firstLineChars="200"/>
        <w:jc w:val="both"/>
        <w:textAlignment w:val="auto"/>
        <w:outlineLvl w:val="9"/>
        <w:rPr>
          <w:rFonts w:hint="eastAsia" w:ascii="Times New Roman" w:hAnsi="Times New Roman" w:eastAsia="方正仿宋_GBK"/>
          <w:color w:val="000000"/>
          <w:spacing w:val="0"/>
          <w:sz w:val="32"/>
        </w:rPr>
      </w:pPr>
      <w:r>
        <w:rPr>
          <w:rFonts w:hint="eastAsia" w:ascii="Times New Roman" w:hAnsi="Times New Roman" w:eastAsia="方正仿宋_GBK"/>
          <w:color w:val="000000"/>
          <w:spacing w:val="0"/>
          <w:sz w:val="32"/>
        </w:rPr>
        <w:t>（五）按时搬迁奖励费。对在房屋征收公告规定的期限内签订补偿协议并完成搬迁的被征收人，选择房屋产权调换安置方式的，按3万元/户的标准给予提前搬迁奖励；选择货币补偿安置方式，按5000元/户的标准给予提前搬迁奖励费。</w:t>
      </w:r>
    </w:p>
    <w:p>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640" w:firstLineChars="200"/>
        <w:jc w:val="both"/>
        <w:textAlignment w:val="auto"/>
        <w:outlineLvl w:val="9"/>
        <w:rPr>
          <w:rFonts w:hint="eastAsia" w:ascii="方正黑体_GBK" w:hAnsi="方正黑体_GBK" w:eastAsia="方正黑体_GBK" w:cs="方正黑体_GBK"/>
          <w:color w:val="000000"/>
          <w:spacing w:val="0"/>
          <w:sz w:val="32"/>
        </w:rPr>
      </w:pPr>
      <w:r>
        <w:rPr>
          <w:rFonts w:hint="eastAsia" w:ascii="方正黑体_GBK" w:hAnsi="方正黑体_GBK" w:eastAsia="方正黑体_GBK" w:cs="方正黑体_GBK"/>
          <w:color w:val="000000"/>
          <w:spacing w:val="0"/>
          <w:sz w:val="32"/>
        </w:rPr>
        <w:t>八、不履行市人民政府作出的征收补偿决定的处理方法</w:t>
      </w:r>
    </w:p>
    <w:p>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640" w:firstLineChars="200"/>
        <w:jc w:val="both"/>
        <w:textAlignment w:val="auto"/>
        <w:outlineLvl w:val="9"/>
        <w:rPr>
          <w:rFonts w:hint="eastAsia" w:ascii="Times New Roman" w:hAnsi="Times New Roman" w:eastAsia="方正仿宋_GBK"/>
          <w:color w:val="000000"/>
          <w:spacing w:val="0"/>
          <w:sz w:val="32"/>
        </w:rPr>
      </w:pPr>
      <w:r>
        <w:rPr>
          <w:rFonts w:hint="eastAsia" w:ascii="Times New Roman" w:hAnsi="Times New Roman" w:eastAsia="方正仿宋_GBK"/>
          <w:color w:val="000000"/>
          <w:spacing w:val="0"/>
          <w:sz w:val="32"/>
        </w:rPr>
        <w:t>被征收人在签约期限内达不成补偿协议，以及因被征收房屋权属不明确、产权有纠纷、产权人下落不明以及产权共有人对补偿事宜达不成一致意见等原因，不能在签约期限内签订补偿协议的，由钦州市住房和城乡建设局根据评估结果报请钦州市人民政府作出房屋征收补偿决定，并在征收范围内予以公告。被征收人对补偿决定不服的，可以依法申请行政复议，也可以依法提起行政诉讼。被征收人在法定期限不申请行政复议或者不提起行政诉讼，在补偿决定规定的期限内又不搬迁，且经协商后仍拒绝搬迁的，由钦州市住房和城乡建设局提请钦州市人民政府申请人民法院强制执行。</w:t>
      </w:r>
    </w:p>
    <w:p>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640" w:firstLineChars="200"/>
        <w:jc w:val="both"/>
        <w:textAlignment w:val="auto"/>
        <w:outlineLvl w:val="9"/>
        <w:rPr>
          <w:rFonts w:hint="eastAsia" w:ascii="Times New Roman" w:hAnsi="Times New Roman" w:eastAsia="方正仿宋_GBK"/>
          <w:color w:val="000000"/>
          <w:spacing w:val="0"/>
          <w:sz w:val="32"/>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2000000000000000000"/>
    <w:charset w:val="86"/>
    <w:family w:val="auto"/>
    <w:pitch w:val="default"/>
    <w:sig w:usb0="A00002BF" w:usb1="38CF7CFA" w:usb2="00082016" w:usb3="00000000" w:csb0="00040001" w:csb1="00000000"/>
  </w:font>
  <w:font w:name="方正黑体_GBK">
    <w:panose1 w:val="02000000000000000000"/>
    <w:charset w:val="86"/>
    <w:family w:val="auto"/>
    <w:pitch w:val="default"/>
    <w:sig w:usb0="A00002BF" w:usb1="38CF7CFA" w:usb2="00082016" w:usb3="00000000" w:csb0="00040001" w:csb1="00000000"/>
  </w:font>
  <w:font w:name="方正小标宋_GBK">
    <w:panose1 w:val="02000000000000000000"/>
    <w:charset w:val="86"/>
    <w:family w:val="auto"/>
    <w:pitch w:val="default"/>
    <w:sig w:usb0="A00002BF" w:usb1="38CF7CFA" w:usb2="00082016" w:usb3="00000000" w:csb0="00040001" w:csb1="00000000"/>
  </w:font>
  <w:font w:name="方正楷体_GBK">
    <w:panose1 w:val="02000000000000000000"/>
    <w:charset w:val="86"/>
    <w:family w:val="auto"/>
    <w:pitch w:val="default"/>
    <w:sig w:usb0="A00002BF" w:usb1="38CF7CFA" w:usb2="00082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C7A0C3C"/>
    <w:rsid w:val="00053999"/>
    <w:rsid w:val="001A2EFC"/>
    <w:rsid w:val="005624E3"/>
    <w:rsid w:val="00612D06"/>
    <w:rsid w:val="006C4C73"/>
    <w:rsid w:val="007F4289"/>
    <w:rsid w:val="00A2456F"/>
    <w:rsid w:val="00BF539B"/>
    <w:rsid w:val="00D72003"/>
    <w:rsid w:val="0104604B"/>
    <w:rsid w:val="01452CE3"/>
    <w:rsid w:val="015B186D"/>
    <w:rsid w:val="01F501DA"/>
    <w:rsid w:val="020D4566"/>
    <w:rsid w:val="02845FAC"/>
    <w:rsid w:val="02AD644B"/>
    <w:rsid w:val="02ED6ED9"/>
    <w:rsid w:val="032D388A"/>
    <w:rsid w:val="037A634B"/>
    <w:rsid w:val="03962556"/>
    <w:rsid w:val="03A810B5"/>
    <w:rsid w:val="03E136D6"/>
    <w:rsid w:val="04307DD1"/>
    <w:rsid w:val="043E6EE9"/>
    <w:rsid w:val="0458363C"/>
    <w:rsid w:val="045F4C93"/>
    <w:rsid w:val="046C6330"/>
    <w:rsid w:val="049A6136"/>
    <w:rsid w:val="04A31730"/>
    <w:rsid w:val="04B53B05"/>
    <w:rsid w:val="05046A4E"/>
    <w:rsid w:val="056149DA"/>
    <w:rsid w:val="0568632D"/>
    <w:rsid w:val="05BA331E"/>
    <w:rsid w:val="05D31C21"/>
    <w:rsid w:val="065C32C5"/>
    <w:rsid w:val="06783095"/>
    <w:rsid w:val="06D57120"/>
    <w:rsid w:val="0755629F"/>
    <w:rsid w:val="075A6FAF"/>
    <w:rsid w:val="076F0AD6"/>
    <w:rsid w:val="079F5103"/>
    <w:rsid w:val="07D76782"/>
    <w:rsid w:val="07EC4B42"/>
    <w:rsid w:val="07FB6528"/>
    <w:rsid w:val="08324347"/>
    <w:rsid w:val="084D55B9"/>
    <w:rsid w:val="085419DD"/>
    <w:rsid w:val="087E60B1"/>
    <w:rsid w:val="08981ECE"/>
    <w:rsid w:val="089C2123"/>
    <w:rsid w:val="08A82E51"/>
    <w:rsid w:val="08AD51C6"/>
    <w:rsid w:val="08AF1D0D"/>
    <w:rsid w:val="08C131A0"/>
    <w:rsid w:val="08D939DD"/>
    <w:rsid w:val="08F27B87"/>
    <w:rsid w:val="08FB707A"/>
    <w:rsid w:val="09454591"/>
    <w:rsid w:val="09CC5E13"/>
    <w:rsid w:val="0A265E79"/>
    <w:rsid w:val="0A2A2B0A"/>
    <w:rsid w:val="0A765C76"/>
    <w:rsid w:val="0A7D0374"/>
    <w:rsid w:val="0A824959"/>
    <w:rsid w:val="0AC0422D"/>
    <w:rsid w:val="0AD64124"/>
    <w:rsid w:val="0ADF4C51"/>
    <w:rsid w:val="0B1411E7"/>
    <w:rsid w:val="0B3C2BB6"/>
    <w:rsid w:val="0B411B07"/>
    <w:rsid w:val="0B816324"/>
    <w:rsid w:val="0BA5506E"/>
    <w:rsid w:val="0BF01FD5"/>
    <w:rsid w:val="0BF5177F"/>
    <w:rsid w:val="0C6B155C"/>
    <w:rsid w:val="0C711C61"/>
    <w:rsid w:val="0C762392"/>
    <w:rsid w:val="0C7D5165"/>
    <w:rsid w:val="0CBA52EB"/>
    <w:rsid w:val="0CC52B36"/>
    <w:rsid w:val="0CE244F5"/>
    <w:rsid w:val="0CFB35BD"/>
    <w:rsid w:val="0D0944E4"/>
    <w:rsid w:val="0D0B476E"/>
    <w:rsid w:val="0D5707BF"/>
    <w:rsid w:val="0D7E405E"/>
    <w:rsid w:val="0DEF5867"/>
    <w:rsid w:val="0DF359D7"/>
    <w:rsid w:val="0E0C2567"/>
    <w:rsid w:val="0E0E610B"/>
    <w:rsid w:val="0E431FAC"/>
    <w:rsid w:val="0E55321D"/>
    <w:rsid w:val="0EB06636"/>
    <w:rsid w:val="0EE52243"/>
    <w:rsid w:val="0EE742C6"/>
    <w:rsid w:val="0EF0466C"/>
    <w:rsid w:val="0EF535F2"/>
    <w:rsid w:val="0F194F6A"/>
    <w:rsid w:val="0F1F580B"/>
    <w:rsid w:val="0F250C6A"/>
    <w:rsid w:val="0FB46CF4"/>
    <w:rsid w:val="0FD0208B"/>
    <w:rsid w:val="101415F3"/>
    <w:rsid w:val="104B0004"/>
    <w:rsid w:val="1068640A"/>
    <w:rsid w:val="10CB27D6"/>
    <w:rsid w:val="10D6618B"/>
    <w:rsid w:val="10DC5CBC"/>
    <w:rsid w:val="11083FD5"/>
    <w:rsid w:val="11AC4589"/>
    <w:rsid w:val="11C15280"/>
    <w:rsid w:val="11C60372"/>
    <w:rsid w:val="11DC73A1"/>
    <w:rsid w:val="11F51CCD"/>
    <w:rsid w:val="121F160F"/>
    <w:rsid w:val="12531030"/>
    <w:rsid w:val="127643A9"/>
    <w:rsid w:val="129802BE"/>
    <w:rsid w:val="12C85088"/>
    <w:rsid w:val="132951BB"/>
    <w:rsid w:val="13483A64"/>
    <w:rsid w:val="13B32D6F"/>
    <w:rsid w:val="13BE0B2C"/>
    <w:rsid w:val="13BE3CE1"/>
    <w:rsid w:val="13D705CE"/>
    <w:rsid w:val="14570675"/>
    <w:rsid w:val="1459601D"/>
    <w:rsid w:val="14C318C5"/>
    <w:rsid w:val="14F86CE7"/>
    <w:rsid w:val="15302D9F"/>
    <w:rsid w:val="15732632"/>
    <w:rsid w:val="15CE0C92"/>
    <w:rsid w:val="16060EB3"/>
    <w:rsid w:val="161E661C"/>
    <w:rsid w:val="1627470C"/>
    <w:rsid w:val="16276340"/>
    <w:rsid w:val="163C14B8"/>
    <w:rsid w:val="164D56F2"/>
    <w:rsid w:val="16563A95"/>
    <w:rsid w:val="16870AD1"/>
    <w:rsid w:val="16B03DDD"/>
    <w:rsid w:val="1739564C"/>
    <w:rsid w:val="176F2B9E"/>
    <w:rsid w:val="177A405B"/>
    <w:rsid w:val="177E1185"/>
    <w:rsid w:val="17D85C03"/>
    <w:rsid w:val="18473E26"/>
    <w:rsid w:val="187E2742"/>
    <w:rsid w:val="18BC6E68"/>
    <w:rsid w:val="18BE2DA9"/>
    <w:rsid w:val="18CA7E04"/>
    <w:rsid w:val="19043E47"/>
    <w:rsid w:val="193515A8"/>
    <w:rsid w:val="197749A3"/>
    <w:rsid w:val="19961AF2"/>
    <w:rsid w:val="19F455D5"/>
    <w:rsid w:val="1A222858"/>
    <w:rsid w:val="1A6A1EF2"/>
    <w:rsid w:val="1A6D2B50"/>
    <w:rsid w:val="1A6F5DB1"/>
    <w:rsid w:val="1AB12640"/>
    <w:rsid w:val="1ADB4204"/>
    <w:rsid w:val="1AE03393"/>
    <w:rsid w:val="1AFB1F00"/>
    <w:rsid w:val="1B7A3FD6"/>
    <w:rsid w:val="1B7F2169"/>
    <w:rsid w:val="1BAF1B06"/>
    <w:rsid w:val="1BC626DD"/>
    <w:rsid w:val="1BFE3611"/>
    <w:rsid w:val="1BFE3B2C"/>
    <w:rsid w:val="1C0D686E"/>
    <w:rsid w:val="1C3D75D9"/>
    <w:rsid w:val="1C7A0C3C"/>
    <w:rsid w:val="1C7F6932"/>
    <w:rsid w:val="1C8543C2"/>
    <w:rsid w:val="1C8C58BE"/>
    <w:rsid w:val="1CCA05A6"/>
    <w:rsid w:val="1D0E5139"/>
    <w:rsid w:val="1D13329E"/>
    <w:rsid w:val="1D193218"/>
    <w:rsid w:val="1D684B36"/>
    <w:rsid w:val="1D915618"/>
    <w:rsid w:val="1DCD76F8"/>
    <w:rsid w:val="1E1D4529"/>
    <w:rsid w:val="1EA7766B"/>
    <w:rsid w:val="1EAD79E1"/>
    <w:rsid w:val="1ED93715"/>
    <w:rsid w:val="1EE211EC"/>
    <w:rsid w:val="1EEF05F6"/>
    <w:rsid w:val="1F1E3A1B"/>
    <w:rsid w:val="1F310BD0"/>
    <w:rsid w:val="1F3452A0"/>
    <w:rsid w:val="1F393FA1"/>
    <w:rsid w:val="1F5A17CA"/>
    <w:rsid w:val="1F5B26E9"/>
    <w:rsid w:val="1F5C4566"/>
    <w:rsid w:val="1F681827"/>
    <w:rsid w:val="1FCC4ACC"/>
    <w:rsid w:val="1FE042EE"/>
    <w:rsid w:val="1FE64FAE"/>
    <w:rsid w:val="1FF73FB4"/>
    <w:rsid w:val="20173246"/>
    <w:rsid w:val="204E0119"/>
    <w:rsid w:val="205656EA"/>
    <w:rsid w:val="207144C7"/>
    <w:rsid w:val="20DD3C96"/>
    <w:rsid w:val="20E44CEA"/>
    <w:rsid w:val="20E50AE5"/>
    <w:rsid w:val="21367215"/>
    <w:rsid w:val="217A7683"/>
    <w:rsid w:val="217E05E0"/>
    <w:rsid w:val="21846ED9"/>
    <w:rsid w:val="219B6345"/>
    <w:rsid w:val="21C27073"/>
    <w:rsid w:val="222E5509"/>
    <w:rsid w:val="223F68D2"/>
    <w:rsid w:val="22537108"/>
    <w:rsid w:val="225E7D60"/>
    <w:rsid w:val="22AC02AC"/>
    <w:rsid w:val="22CA17EF"/>
    <w:rsid w:val="22FE0149"/>
    <w:rsid w:val="233820FB"/>
    <w:rsid w:val="23524A7F"/>
    <w:rsid w:val="238274F5"/>
    <w:rsid w:val="238B56F7"/>
    <w:rsid w:val="23E95427"/>
    <w:rsid w:val="23FA55F6"/>
    <w:rsid w:val="240648B7"/>
    <w:rsid w:val="24250862"/>
    <w:rsid w:val="242B4B3F"/>
    <w:rsid w:val="24857C6C"/>
    <w:rsid w:val="251E708C"/>
    <w:rsid w:val="252440CD"/>
    <w:rsid w:val="25285820"/>
    <w:rsid w:val="260856C1"/>
    <w:rsid w:val="262D1C03"/>
    <w:rsid w:val="265C69B1"/>
    <w:rsid w:val="269D561F"/>
    <w:rsid w:val="26A707D6"/>
    <w:rsid w:val="26BD7562"/>
    <w:rsid w:val="271B28A5"/>
    <w:rsid w:val="271D68FB"/>
    <w:rsid w:val="271E7B7E"/>
    <w:rsid w:val="27310B9F"/>
    <w:rsid w:val="273268DB"/>
    <w:rsid w:val="273B3B87"/>
    <w:rsid w:val="275C2CF7"/>
    <w:rsid w:val="27817F22"/>
    <w:rsid w:val="27A117FC"/>
    <w:rsid w:val="27B93185"/>
    <w:rsid w:val="27CE2FCB"/>
    <w:rsid w:val="28436FCC"/>
    <w:rsid w:val="284C5973"/>
    <w:rsid w:val="28585060"/>
    <w:rsid w:val="285D3867"/>
    <w:rsid w:val="28816982"/>
    <w:rsid w:val="28DB3E60"/>
    <w:rsid w:val="29030107"/>
    <w:rsid w:val="291760DC"/>
    <w:rsid w:val="292F0937"/>
    <w:rsid w:val="299A3B11"/>
    <w:rsid w:val="29B87983"/>
    <w:rsid w:val="29FC61B4"/>
    <w:rsid w:val="2A0B0E57"/>
    <w:rsid w:val="2A48473F"/>
    <w:rsid w:val="2A8172DE"/>
    <w:rsid w:val="2ABB68BA"/>
    <w:rsid w:val="2AC702DC"/>
    <w:rsid w:val="2ADD6AF8"/>
    <w:rsid w:val="2B007E4D"/>
    <w:rsid w:val="2B097FE1"/>
    <w:rsid w:val="2B1741A3"/>
    <w:rsid w:val="2B1F1D55"/>
    <w:rsid w:val="2B200364"/>
    <w:rsid w:val="2B51655A"/>
    <w:rsid w:val="2B534F1E"/>
    <w:rsid w:val="2B692C46"/>
    <w:rsid w:val="2B7D668C"/>
    <w:rsid w:val="2B8A7892"/>
    <w:rsid w:val="2BB01EB1"/>
    <w:rsid w:val="2BD750FF"/>
    <w:rsid w:val="2BDA13A6"/>
    <w:rsid w:val="2BFB283C"/>
    <w:rsid w:val="2C483D09"/>
    <w:rsid w:val="2C5859C7"/>
    <w:rsid w:val="2CD33047"/>
    <w:rsid w:val="2D0A7DFC"/>
    <w:rsid w:val="2D1D0B7E"/>
    <w:rsid w:val="2D5D359F"/>
    <w:rsid w:val="2D6C2DE9"/>
    <w:rsid w:val="2DCC4098"/>
    <w:rsid w:val="2DDF6671"/>
    <w:rsid w:val="2E574AB6"/>
    <w:rsid w:val="2E77029D"/>
    <w:rsid w:val="2E9311ED"/>
    <w:rsid w:val="2EAA5BAE"/>
    <w:rsid w:val="2EC61F57"/>
    <w:rsid w:val="2EEA4752"/>
    <w:rsid w:val="2F1471FE"/>
    <w:rsid w:val="2F3B43AD"/>
    <w:rsid w:val="2F627C1F"/>
    <w:rsid w:val="2F6C4D7A"/>
    <w:rsid w:val="2F81587B"/>
    <w:rsid w:val="2F8D5638"/>
    <w:rsid w:val="2FC04A85"/>
    <w:rsid w:val="300741D6"/>
    <w:rsid w:val="301761EB"/>
    <w:rsid w:val="302458FE"/>
    <w:rsid w:val="302625A8"/>
    <w:rsid w:val="30996F9D"/>
    <w:rsid w:val="30B1670A"/>
    <w:rsid w:val="30E26189"/>
    <w:rsid w:val="311E392B"/>
    <w:rsid w:val="312851BC"/>
    <w:rsid w:val="312B238E"/>
    <w:rsid w:val="314D6DF3"/>
    <w:rsid w:val="31720BD0"/>
    <w:rsid w:val="31B150B7"/>
    <w:rsid w:val="31CF08E1"/>
    <w:rsid w:val="31EA1B5F"/>
    <w:rsid w:val="31EA1F5B"/>
    <w:rsid w:val="321E2A3D"/>
    <w:rsid w:val="321F13A7"/>
    <w:rsid w:val="32327CB5"/>
    <w:rsid w:val="3262451D"/>
    <w:rsid w:val="32726ABB"/>
    <w:rsid w:val="327C2764"/>
    <w:rsid w:val="32853708"/>
    <w:rsid w:val="32A713F2"/>
    <w:rsid w:val="32F45E72"/>
    <w:rsid w:val="32FA7D64"/>
    <w:rsid w:val="330D2CAD"/>
    <w:rsid w:val="33185ABC"/>
    <w:rsid w:val="33191D5E"/>
    <w:rsid w:val="33454B1F"/>
    <w:rsid w:val="33517D2B"/>
    <w:rsid w:val="33576A31"/>
    <w:rsid w:val="335C4DC9"/>
    <w:rsid w:val="33852D16"/>
    <w:rsid w:val="33B7070F"/>
    <w:rsid w:val="33C26DE1"/>
    <w:rsid w:val="346E5919"/>
    <w:rsid w:val="34703A53"/>
    <w:rsid w:val="347C483D"/>
    <w:rsid w:val="34C107F4"/>
    <w:rsid w:val="34EF5145"/>
    <w:rsid w:val="34FB3143"/>
    <w:rsid w:val="351C3614"/>
    <w:rsid w:val="353E4134"/>
    <w:rsid w:val="35990CA7"/>
    <w:rsid w:val="35A67B85"/>
    <w:rsid w:val="35D41939"/>
    <w:rsid w:val="35F038B2"/>
    <w:rsid w:val="367B0C8D"/>
    <w:rsid w:val="36854C3F"/>
    <w:rsid w:val="368777D3"/>
    <w:rsid w:val="36980024"/>
    <w:rsid w:val="36B634FA"/>
    <w:rsid w:val="36C57101"/>
    <w:rsid w:val="36E1784D"/>
    <w:rsid w:val="370314EE"/>
    <w:rsid w:val="3703712B"/>
    <w:rsid w:val="37801049"/>
    <w:rsid w:val="37AC773C"/>
    <w:rsid w:val="37DF0D2B"/>
    <w:rsid w:val="380A7717"/>
    <w:rsid w:val="380E6BBA"/>
    <w:rsid w:val="3823644F"/>
    <w:rsid w:val="383C7493"/>
    <w:rsid w:val="384B3D16"/>
    <w:rsid w:val="389D655C"/>
    <w:rsid w:val="38CD53F5"/>
    <w:rsid w:val="38D60D72"/>
    <w:rsid w:val="390D79AC"/>
    <w:rsid w:val="393732CC"/>
    <w:rsid w:val="394222D8"/>
    <w:rsid w:val="39846A58"/>
    <w:rsid w:val="39DD0897"/>
    <w:rsid w:val="39DE60C1"/>
    <w:rsid w:val="39E722DC"/>
    <w:rsid w:val="39F55F92"/>
    <w:rsid w:val="39FC21FC"/>
    <w:rsid w:val="3A3D6DDB"/>
    <w:rsid w:val="3A4841CE"/>
    <w:rsid w:val="3A6158E4"/>
    <w:rsid w:val="3A970574"/>
    <w:rsid w:val="3AA9243A"/>
    <w:rsid w:val="3AF33404"/>
    <w:rsid w:val="3B3277C1"/>
    <w:rsid w:val="3BBF7740"/>
    <w:rsid w:val="3C321444"/>
    <w:rsid w:val="3C4F58AE"/>
    <w:rsid w:val="3C556DEF"/>
    <w:rsid w:val="3C613E22"/>
    <w:rsid w:val="3C9D48DB"/>
    <w:rsid w:val="3CAC5EFB"/>
    <w:rsid w:val="3CB34FCB"/>
    <w:rsid w:val="3CBF21CC"/>
    <w:rsid w:val="3CE67571"/>
    <w:rsid w:val="3D1E514D"/>
    <w:rsid w:val="3D6B5A90"/>
    <w:rsid w:val="3D6D4630"/>
    <w:rsid w:val="3D76413E"/>
    <w:rsid w:val="3D7D35D7"/>
    <w:rsid w:val="3DAB0DEE"/>
    <w:rsid w:val="3DD1007E"/>
    <w:rsid w:val="3DDD5A0A"/>
    <w:rsid w:val="3E2A33BB"/>
    <w:rsid w:val="3E2B572D"/>
    <w:rsid w:val="3E7C4625"/>
    <w:rsid w:val="3EAA51A1"/>
    <w:rsid w:val="3ED441F2"/>
    <w:rsid w:val="3EDF47FC"/>
    <w:rsid w:val="3F2F2BDC"/>
    <w:rsid w:val="3F687E90"/>
    <w:rsid w:val="3F7C04F4"/>
    <w:rsid w:val="3FA976AA"/>
    <w:rsid w:val="3FB900C0"/>
    <w:rsid w:val="40514EE7"/>
    <w:rsid w:val="406B2541"/>
    <w:rsid w:val="40911E0D"/>
    <w:rsid w:val="409965F6"/>
    <w:rsid w:val="40A25A63"/>
    <w:rsid w:val="40DA556B"/>
    <w:rsid w:val="41457C9B"/>
    <w:rsid w:val="41775EEF"/>
    <w:rsid w:val="41BE1CF1"/>
    <w:rsid w:val="42055399"/>
    <w:rsid w:val="42102BA7"/>
    <w:rsid w:val="42395A60"/>
    <w:rsid w:val="423F5271"/>
    <w:rsid w:val="42654A38"/>
    <w:rsid w:val="42926DA7"/>
    <w:rsid w:val="429942F5"/>
    <w:rsid w:val="42F97F59"/>
    <w:rsid w:val="43001022"/>
    <w:rsid w:val="43057734"/>
    <w:rsid w:val="43193D1E"/>
    <w:rsid w:val="432A202E"/>
    <w:rsid w:val="43337BF9"/>
    <w:rsid w:val="434677D9"/>
    <w:rsid w:val="434B2690"/>
    <w:rsid w:val="43BE36A7"/>
    <w:rsid w:val="440441DD"/>
    <w:rsid w:val="44281D51"/>
    <w:rsid w:val="442A32B6"/>
    <w:rsid w:val="443D33AE"/>
    <w:rsid w:val="445C4FF3"/>
    <w:rsid w:val="44B1119D"/>
    <w:rsid w:val="454D0D6C"/>
    <w:rsid w:val="45657C20"/>
    <w:rsid w:val="45726378"/>
    <w:rsid w:val="458276D7"/>
    <w:rsid w:val="45952743"/>
    <w:rsid w:val="45D77A93"/>
    <w:rsid w:val="45F34F53"/>
    <w:rsid w:val="45F620D2"/>
    <w:rsid w:val="462C3553"/>
    <w:rsid w:val="46396C98"/>
    <w:rsid w:val="46467BBF"/>
    <w:rsid w:val="46C543D4"/>
    <w:rsid w:val="46C745C0"/>
    <w:rsid w:val="46D84AF9"/>
    <w:rsid w:val="46F65F29"/>
    <w:rsid w:val="47830A78"/>
    <w:rsid w:val="478D0489"/>
    <w:rsid w:val="47BF12D4"/>
    <w:rsid w:val="47DE7681"/>
    <w:rsid w:val="47E14154"/>
    <w:rsid w:val="486E4C46"/>
    <w:rsid w:val="48AA2710"/>
    <w:rsid w:val="48CF57DC"/>
    <w:rsid w:val="492947D8"/>
    <w:rsid w:val="49674669"/>
    <w:rsid w:val="49C74FDD"/>
    <w:rsid w:val="4A2B56E6"/>
    <w:rsid w:val="4A2C4B71"/>
    <w:rsid w:val="4A3771F1"/>
    <w:rsid w:val="4A3B57B7"/>
    <w:rsid w:val="4A714076"/>
    <w:rsid w:val="4AB371E4"/>
    <w:rsid w:val="4AB41F37"/>
    <w:rsid w:val="4ABB15F5"/>
    <w:rsid w:val="4ADD5BDA"/>
    <w:rsid w:val="4B0B11DE"/>
    <w:rsid w:val="4B1275B4"/>
    <w:rsid w:val="4B4B61B4"/>
    <w:rsid w:val="4B4E020E"/>
    <w:rsid w:val="4B502183"/>
    <w:rsid w:val="4B7E6B31"/>
    <w:rsid w:val="4B867A15"/>
    <w:rsid w:val="4B8E69C8"/>
    <w:rsid w:val="4B9615D1"/>
    <w:rsid w:val="4BAA5ACE"/>
    <w:rsid w:val="4BAD708D"/>
    <w:rsid w:val="4BAF6CCD"/>
    <w:rsid w:val="4C20681C"/>
    <w:rsid w:val="4C5D1E12"/>
    <w:rsid w:val="4C5F4A66"/>
    <w:rsid w:val="4C69093B"/>
    <w:rsid w:val="4C7D6E57"/>
    <w:rsid w:val="4C846ABA"/>
    <w:rsid w:val="4CD10F2B"/>
    <w:rsid w:val="4CD84946"/>
    <w:rsid w:val="4CE41444"/>
    <w:rsid w:val="4CFB7013"/>
    <w:rsid w:val="4D144A0B"/>
    <w:rsid w:val="4D50381A"/>
    <w:rsid w:val="4D701362"/>
    <w:rsid w:val="4D9B27D6"/>
    <w:rsid w:val="4D9E2CD3"/>
    <w:rsid w:val="4DD3768B"/>
    <w:rsid w:val="4DE64973"/>
    <w:rsid w:val="4DF0105E"/>
    <w:rsid w:val="4E6117F4"/>
    <w:rsid w:val="4E9A59F4"/>
    <w:rsid w:val="4ED64009"/>
    <w:rsid w:val="4EE1629C"/>
    <w:rsid w:val="4EE500C0"/>
    <w:rsid w:val="4F0146A6"/>
    <w:rsid w:val="4F0675E0"/>
    <w:rsid w:val="4F3727EB"/>
    <w:rsid w:val="4FA142AA"/>
    <w:rsid w:val="4FC2172B"/>
    <w:rsid w:val="4FC332C7"/>
    <w:rsid w:val="50457BE3"/>
    <w:rsid w:val="504857D7"/>
    <w:rsid w:val="504F326C"/>
    <w:rsid w:val="505D39EB"/>
    <w:rsid w:val="50A050FF"/>
    <w:rsid w:val="50BB5C6C"/>
    <w:rsid w:val="50F00094"/>
    <w:rsid w:val="510E7083"/>
    <w:rsid w:val="51111AAB"/>
    <w:rsid w:val="5116473E"/>
    <w:rsid w:val="513B4D6A"/>
    <w:rsid w:val="51610178"/>
    <w:rsid w:val="51A51D01"/>
    <w:rsid w:val="51C34A91"/>
    <w:rsid w:val="51C37448"/>
    <w:rsid w:val="51E3576D"/>
    <w:rsid w:val="51E373D9"/>
    <w:rsid w:val="51E84EC7"/>
    <w:rsid w:val="51E94AD9"/>
    <w:rsid w:val="51F777D8"/>
    <w:rsid w:val="521C3408"/>
    <w:rsid w:val="52213189"/>
    <w:rsid w:val="52476080"/>
    <w:rsid w:val="524D7DBF"/>
    <w:rsid w:val="528E0D20"/>
    <w:rsid w:val="52931446"/>
    <w:rsid w:val="52A02E0C"/>
    <w:rsid w:val="52A3623E"/>
    <w:rsid w:val="52BC36FB"/>
    <w:rsid w:val="53567EAB"/>
    <w:rsid w:val="536E788A"/>
    <w:rsid w:val="53E9093F"/>
    <w:rsid w:val="54416BB4"/>
    <w:rsid w:val="54581829"/>
    <w:rsid w:val="54BF4D04"/>
    <w:rsid w:val="54F06720"/>
    <w:rsid w:val="552A460C"/>
    <w:rsid w:val="555724C2"/>
    <w:rsid w:val="55576FAF"/>
    <w:rsid w:val="555E0FC2"/>
    <w:rsid w:val="55747200"/>
    <w:rsid w:val="55984F85"/>
    <w:rsid w:val="55B12E5A"/>
    <w:rsid w:val="55BC3B16"/>
    <w:rsid w:val="55E27A11"/>
    <w:rsid w:val="56082226"/>
    <w:rsid w:val="56120166"/>
    <w:rsid w:val="56133B82"/>
    <w:rsid w:val="564D7F1F"/>
    <w:rsid w:val="56551E70"/>
    <w:rsid w:val="565633E9"/>
    <w:rsid w:val="567E17B6"/>
    <w:rsid w:val="568E037D"/>
    <w:rsid w:val="57142936"/>
    <w:rsid w:val="572D4BFB"/>
    <w:rsid w:val="57BC70E5"/>
    <w:rsid w:val="58195F4D"/>
    <w:rsid w:val="586847E6"/>
    <w:rsid w:val="58721AAD"/>
    <w:rsid w:val="58C60A68"/>
    <w:rsid w:val="58D6785B"/>
    <w:rsid w:val="58ED76BB"/>
    <w:rsid w:val="58F2537C"/>
    <w:rsid w:val="58FE5439"/>
    <w:rsid w:val="591C36D2"/>
    <w:rsid w:val="594271F0"/>
    <w:rsid w:val="594B447A"/>
    <w:rsid w:val="59EB3571"/>
    <w:rsid w:val="5A660320"/>
    <w:rsid w:val="5A7B4372"/>
    <w:rsid w:val="5AEE3265"/>
    <w:rsid w:val="5AF85E6E"/>
    <w:rsid w:val="5B732B96"/>
    <w:rsid w:val="5BAB13F2"/>
    <w:rsid w:val="5BB86780"/>
    <w:rsid w:val="5BCE403A"/>
    <w:rsid w:val="5BDE10C8"/>
    <w:rsid w:val="5C20096A"/>
    <w:rsid w:val="5C5760F5"/>
    <w:rsid w:val="5CA307E7"/>
    <w:rsid w:val="5CB31134"/>
    <w:rsid w:val="5CF45FA1"/>
    <w:rsid w:val="5D1D7091"/>
    <w:rsid w:val="5D26027B"/>
    <w:rsid w:val="5D3927B2"/>
    <w:rsid w:val="5D54764A"/>
    <w:rsid w:val="5D55204E"/>
    <w:rsid w:val="5D8D5E63"/>
    <w:rsid w:val="5DA24C05"/>
    <w:rsid w:val="5DAB6877"/>
    <w:rsid w:val="5DC948FC"/>
    <w:rsid w:val="5DCB3987"/>
    <w:rsid w:val="5E2457BB"/>
    <w:rsid w:val="5E4E5CBC"/>
    <w:rsid w:val="5E524898"/>
    <w:rsid w:val="5E6424BB"/>
    <w:rsid w:val="5F486CED"/>
    <w:rsid w:val="5FD1079B"/>
    <w:rsid w:val="603A727F"/>
    <w:rsid w:val="604052B4"/>
    <w:rsid w:val="608B321A"/>
    <w:rsid w:val="60A85D21"/>
    <w:rsid w:val="60BA4550"/>
    <w:rsid w:val="60EC599D"/>
    <w:rsid w:val="60F53E00"/>
    <w:rsid w:val="6135626F"/>
    <w:rsid w:val="618D3F50"/>
    <w:rsid w:val="61914C4B"/>
    <w:rsid w:val="619923E3"/>
    <w:rsid w:val="61B23A47"/>
    <w:rsid w:val="61C22AFF"/>
    <w:rsid w:val="61E26E04"/>
    <w:rsid w:val="61E61087"/>
    <w:rsid w:val="61EA778C"/>
    <w:rsid w:val="61F05D8F"/>
    <w:rsid w:val="62075D3C"/>
    <w:rsid w:val="621D0127"/>
    <w:rsid w:val="6243764A"/>
    <w:rsid w:val="62581418"/>
    <w:rsid w:val="626C5ABC"/>
    <w:rsid w:val="62731A1B"/>
    <w:rsid w:val="62B30F7E"/>
    <w:rsid w:val="62BE6BB4"/>
    <w:rsid w:val="62EA110D"/>
    <w:rsid w:val="63115563"/>
    <w:rsid w:val="631745B2"/>
    <w:rsid w:val="635D2396"/>
    <w:rsid w:val="637264E3"/>
    <w:rsid w:val="639043B6"/>
    <w:rsid w:val="63955E7B"/>
    <w:rsid w:val="639D2716"/>
    <w:rsid w:val="63C9478F"/>
    <w:rsid w:val="63DE2C1F"/>
    <w:rsid w:val="64105016"/>
    <w:rsid w:val="64145E4D"/>
    <w:rsid w:val="6423614C"/>
    <w:rsid w:val="647C255B"/>
    <w:rsid w:val="64F97BAA"/>
    <w:rsid w:val="650C72B6"/>
    <w:rsid w:val="652E32C0"/>
    <w:rsid w:val="653B2D31"/>
    <w:rsid w:val="6563574F"/>
    <w:rsid w:val="65840AB9"/>
    <w:rsid w:val="65BA2BC5"/>
    <w:rsid w:val="65D92603"/>
    <w:rsid w:val="65F252FA"/>
    <w:rsid w:val="66161F5B"/>
    <w:rsid w:val="663906E7"/>
    <w:rsid w:val="66B6485B"/>
    <w:rsid w:val="66F1070C"/>
    <w:rsid w:val="66FE7311"/>
    <w:rsid w:val="670F2879"/>
    <w:rsid w:val="673E1EAF"/>
    <w:rsid w:val="67417EA4"/>
    <w:rsid w:val="674729DD"/>
    <w:rsid w:val="674B1EEA"/>
    <w:rsid w:val="67625AA2"/>
    <w:rsid w:val="676D2E37"/>
    <w:rsid w:val="676F7C87"/>
    <w:rsid w:val="682959CC"/>
    <w:rsid w:val="682F1D7C"/>
    <w:rsid w:val="683761CC"/>
    <w:rsid w:val="683E0760"/>
    <w:rsid w:val="686F4E39"/>
    <w:rsid w:val="688441EB"/>
    <w:rsid w:val="68CF49ED"/>
    <w:rsid w:val="68D34843"/>
    <w:rsid w:val="691756AD"/>
    <w:rsid w:val="6927245B"/>
    <w:rsid w:val="694A2AF3"/>
    <w:rsid w:val="696F7163"/>
    <w:rsid w:val="697550AA"/>
    <w:rsid w:val="69C116E3"/>
    <w:rsid w:val="69D74DE6"/>
    <w:rsid w:val="69FA02BF"/>
    <w:rsid w:val="6A4C4B69"/>
    <w:rsid w:val="6A640EB1"/>
    <w:rsid w:val="6A9A3F26"/>
    <w:rsid w:val="6AA03A6A"/>
    <w:rsid w:val="6AA2113C"/>
    <w:rsid w:val="6AB073C0"/>
    <w:rsid w:val="6AB74E49"/>
    <w:rsid w:val="6AD76E55"/>
    <w:rsid w:val="6ADC707B"/>
    <w:rsid w:val="6B3355E3"/>
    <w:rsid w:val="6B5E5F1E"/>
    <w:rsid w:val="6B7633A8"/>
    <w:rsid w:val="6B9B5AB4"/>
    <w:rsid w:val="6BFF63C5"/>
    <w:rsid w:val="6C1040DF"/>
    <w:rsid w:val="6C1C6C36"/>
    <w:rsid w:val="6C25547A"/>
    <w:rsid w:val="6C291543"/>
    <w:rsid w:val="6C37543C"/>
    <w:rsid w:val="6C4B53B6"/>
    <w:rsid w:val="6C5A4804"/>
    <w:rsid w:val="6C5E4D78"/>
    <w:rsid w:val="6C6F6E66"/>
    <w:rsid w:val="6C7051C5"/>
    <w:rsid w:val="6C896DBE"/>
    <w:rsid w:val="6CB0273F"/>
    <w:rsid w:val="6CB233A6"/>
    <w:rsid w:val="6CDB1836"/>
    <w:rsid w:val="6CF7479F"/>
    <w:rsid w:val="6D2721B7"/>
    <w:rsid w:val="6D672B9F"/>
    <w:rsid w:val="6D9A5260"/>
    <w:rsid w:val="6DBE5F48"/>
    <w:rsid w:val="6DCA5B12"/>
    <w:rsid w:val="6E171B99"/>
    <w:rsid w:val="6E1E5172"/>
    <w:rsid w:val="6E250027"/>
    <w:rsid w:val="6E65570D"/>
    <w:rsid w:val="6E8C726C"/>
    <w:rsid w:val="6EBC1912"/>
    <w:rsid w:val="6ED17A80"/>
    <w:rsid w:val="6EEE2E8E"/>
    <w:rsid w:val="6EFB62E2"/>
    <w:rsid w:val="6F2670A5"/>
    <w:rsid w:val="6F2D4ECE"/>
    <w:rsid w:val="6F4C7C1E"/>
    <w:rsid w:val="6F834750"/>
    <w:rsid w:val="6F840B25"/>
    <w:rsid w:val="6F876B04"/>
    <w:rsid w:val="6FA62EA1"/>
    <w:rsid w:val="6FAA32CC"/>
    <w:rsid w:val="6FC9775F"/>
    <w:rsid w:val="6FDA2A83"/>
    <w:rsid w:val="6FFA2CB4"/>
    <w:rsid w:val="70515875"/>
    <w:rsid w:val="706133BC"/>
    <w:rsid w:val="707E0626"/>
    <w:rsid w:val="708A4025"/>
    <w:rsid w:val="70DA1BB0"/>
    <w:rsid w:val="710355A4"/>
    <w:rsid w:val="71116A28"/>
    <w:rsid w:val="71722886"/>
    <w:rsid w:val="71724409"/>
    <w:rsid w:val="718D6798"/>
    <w:rsid w:val="7197590D"/>
    <w:rsid w:val="72487B40"/>
    <w:rsid w:val="72624ABE"/>
    <w:rsid w:val="72A112AF"/>
    <w:rsid w:val="72CA6BD5"/>
    <w:rsid w:val="72CC371D"/>
    <w:rsid w:val="73140B23"/>
    <w:rsid w:val="73820D67"/>
    <w:rsid w:val="73A23F5E"/>
    <w:rsid w:val="73A91AD2"/>
    <w:rsid w:val="73AA43B2"/>
    <w:rsid w:val="73C5203B"/>
    <w:rsid w:val="73D9550B"/>
    <w:rsid w:val="73E92D26"/>
    <w:rsid w:val="74004A48"/>
    <w:rsid w:val="740B0073"/>
    <w:rsid w:val="740D5261"/>
    <w:rsid w:val="741F1AD7"/>
    <w:rsid w:val="74394F96"/>
    <w:rsid w:val="74742F85"/>
    <w:rsid w:val="74785909"/>
    <w:rsid w:val="747A36F8"/>
    <w:rsid w:val="74B02E11"/>
    <w:rsid w:val="74B9299F"/>
    <w:rsid w:val="74BD2E60"/>
    <w:rsid w:val="74C83A7E"/>
    <w:rsid w:val="74EA2708"/>
    <w:rsid w:val="750346AC"/>
    <w:rsid w:val="75252F6E"/>
    <w:rsid w:val="754F3868"/>
    <w:rsid w:val="75941AFA"/>
    <w:rsid w:val="75A10F0D"/>
    <w:rsid w:val="75BB68CE"/>
    <w:rsid w:val="75C15293"/>
    <w:rsid w:val="75CA1177"/>
    <w:rsid w:val="75D55F00"/>
    <w:rsid w:val="75DE2C2E"/>
    <w:rsid w:val="75F27962"/>
    <w:rsid w:val="75F54D2C"/>
    <w:rsid w:val="7606163F"/>
    <w:rsid w:val="761122B0"/>
    <w:rsid w:val="762105A3"/>
    <w:rsid w:val="766B52E6"/>
    <w:rsid w:val="768862FF"/>
    <w:rsid w:val="7694473D"/>
    <w:rsid w:val="7698531A"/>
    <w:rsid w:val="76A0563D"/>
    <w:rsid w:val="76E16E45"/>
    <w:rsid w:val="76ED3AAF"/>
    <w:rsid w:val="77000D43"/>
    <w:rsid w:val="77365B1F"/>
    <w:rsid w:val="773F0527"/>
    <w:rsid w:val="77587E77"/>
    <w:rsid w:val="7770419C"/>
    <w:rsid w:val="777105C5"/>
    <w:rsid w:val="778D2A72"/>
    <w:rsid w:val="77941F79"/>
    <w:rsid w:val="77E86A0E"/>
    <w:rsid w:val="77EC70F8"/>
    <w:rsid w:val="77EE777B"/>
    <w:rsid w:val="78205A98"/>
    <w:rsid w:val="78502272"/>
    <w:rsid w:val="78651273"/>
    <w:rsid w:val="787D065B"/>
    <w:rsid w:val="78A76422"/>
    <w:rsid w:val="78B4258D"/>
    <w:rsid w:val="78C76002"/>
    <w:rsid w:val="78DB3BFA"/>
    <w:rsid w:val="79532378"/>
    <w:rsid w:val="7964401A"/>
    <w:rsid w:val="796B7298"/>
    <w:rsid w:val="7A3224D1"/>
    <w:rsid w:val="7A383291"/>
    <w:rsid w:val="7A394E7A"/>
    <w:rsid w:val="7A513734"/>
    <w:rsid w:val="7A5569B6"/>
    <w:rsid w:val="7A874C3E"/>
    <w:rsid w:val="7A895766"/>
    <w:rsid w:val="7A961DBF"/>
    <w:rsid w:val="7AB00706"/>
    <w:rsid w:val="7AE45025"/>
    <w:rsid w:val="7AEC54A2"/>
    <w:rsid w:val="7AF07B4B"/>
    <w:rsid w:val="7B3704A3"/>
    <w:rsid w:val="7B5C07FC"/>
    <w:rsid w:val="7B6213AA"/>
    <w:rsid w:val="7B657AB3"/>
    <w:rsid w:val="7B930816"/>
    <w:rsid w:val="7BD54DFE"/>
    <w:rsid w:val="7C044C5D"/>
    <w:rsid w:val="7C181DB5"/>
    <w:rsid w:val="7C1F0455"/>
    <w:rsid w:val="7C2F624B"/>
    <w:rsid w:val="7C926C1A"/>
    <w:rsid w:val="7CB52CD1"/>
    <w:rsid w:val="7CE25E64"/>
    <w:rsid w:val="7CE66752"/>
    <w:rsid w:val="7D1B2A48"/>
    <w:rsid w:val="7D3250B8"/>
    <w:rsid w:val="7D3B6CDF"/>
    <w:rsid w:val="7D5037BA"/>
    <w:rsid w:val="7D5547FB"/>
    <w:rsid w:val="7D6D77D6"/>
    <w:rsid w:val="7D7D4F42"/>
    <w:rsid w:val="7D83279B"/>
    <w:rsid w:val="7D840BAA"/>
    <w:rsid w:val="7D861DDD"/>
    <w:rsid w:val="7D8700E0"/>
    <w:rsid w:val="7DA70954"/>
    <w:rsid w:val="7DF2250C"/>
    <w:rsid w:val="7E482F10"/>
    <w:rsid w:val="7E4A04C5"/>
    <w:rsid w:val="7E8649DB"/>
    <w:rsid w:val="7EA675E5"/>
    <w:rsid w:val="7EAB2C3C"/>
    <w:rsid w:val="7EC96619"/>
    <w:rsid w:val="7F41714B"/>
    <w:rsid w:val="7F705F3D"/>
    <w:rsid w:val="7F7850D6"/>
    <w:rsid w:val="7FB071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宋体" w:cs="Times New Roman"/>
      <w:kern w:val="2"/>
      <w:sz w:val="30"/>
      <w:szCs w:val="30"/>
      <w:lang w:val="en-US" w:eastAsia="zh-CN"/>
    </w:rPr>
  </w:style>
  <w:style w:type="paragraph" w:styleId="2">
    <w:name w:val="heading 3"/>
    <w:basedOn w:val="1"/>
    <w:next w:val="1"/>
    <w:qFormat/>
    <w:uiPriority w:val="0"/>
    <w:pPr>
      <w:keepNext/>
      <w:keepLines/>
      <w:spacing w:before="260" w:after="260" w:line="416" w:lineRule="auto"/>
      <w:outlineLvl w:val="2"/>
    </w:pPr>
    <w:rPr>
      <w:b/>
      <w:bCs/>
      <w:sz w:val="32"/>
      <w:szCs w:val="32"/>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character" w:customStyle="1" w:styleId="5">
    <w:name w:val="NormalCharacter"/>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市直单位</Company>
  <Pages>1</Pages>
  <Words>0</Words>
  <Characters>0</Characters>
  <Lines>0</Lines>
  <Paragraphs>0</Paragraphs>
  <TotalTime>0</TotalTime>
  <ScaleCrop>false</ScaleCrop>
  <LinksUpToDate>false</LinksUpToDate>
  <CharactersWithSpaces>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2021-11-09T10:06:00Z</dcterms:created>
  <dc:creator>农朝海</dc:creator>
  <cp:lastModifiedBy>农朝海</cp:lastModifiedBy>
  <dcterms:modified xsi:type="dcterms:W3CDTF">2021-11-09T10:07:37Z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