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钦市农业</w:t>
      </w:r>
      <w:r>
        <w:rPr>
          <w:rFonts w:hint="eastAsia" w:ascii="仿宋_GB2312" w:hAnsi="宋体" w:eastAsia="仿宋_GB2312"/>
          <w:color w:val="000000"/>
          <w:sz w:val="32"/>
          <w:szCs w:val="32"/>
          <w:lang w:eastAsia="zh-CN"/>
        </w:rPr>
        <w:t>规</w:t>
      </w:r>
      <w:r>
        <w:rPr>
          <w:rFonts w:hint="eastAsia" w:ascii="仿宋_GB2312" w:hAnsi="宋体" w:eastAsia="仿宋_GB2312"/>
          <w:color w:val="000000"/>
          <w:sz w:val="32"/>
          <w:szCs w:val="32"/>
        </w:rPr>
        <w:t>〔20</w:t>
      </w:r>
      <w:r>
        <w:rPr>
          <w:rFonts w:hint="eastAsia" w:ascii="仿宋_GB2312" w:hAnsi="宋体"/>
          <w:color w:val="000000"/>
          <w:sz w:val="32"/>
          <w:szCs w:val="32"/>
          <w:lang w:val="en-US" w:eastAsia="zh-CN"/>
        </w:rPr>
        <w:t>21</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宋体" w:eastAsia="仿宋_GB2312"/>
          <w:color w:val="000000"/>
          <w:sz w:val="44"/>
          <w:szCs w:val="44"/>
        </w:rPr>
      </w:pPr>
    </w:p>
    <w:p>
      <w:pPr>
        <w:keepNext w:val="0"/>
        <w:keepLines w:val="0"/>
        <w:pageBreakBefore w:val="0"/>
        <w:kinsoku/>
        <w:overflowPunct/>
        <w:topLinePunct w:val="0"/>
        <w:autoSpaceDE w:val="0"/>
        <w:autoSpaceDN w:val="0"/>
        <w:bidi w:val="0"/>
        <w:adjustRightInd w:val="0"/>
        <w:snapToGrid w:val="0"/>
        <w:spacing w:line="540" w:lineRule="exact"/>
        <w:jc w:val="center"/>
        <w:textAlignment w:val="auto"/>
        <w:rPr>
          <w:rFonts w:hint="eastAsia" w:ascii="方正小标宋简体" w:eastAsia="方正小标宋简体"/>
          <w:color w:val="auto"/>
          <w:spacing w:val="-11"/>
          <w:sz w:val="44"/>
          <w:szCs w:val="44"/>
        </w:rPr>
      </w:pPr>
      <w:r>
        <w:rPr>
          <w:rFonts w:hint="eastAsia" w:ascii="方正小标宋简体" w:hAnsi="方正小标宋简体" w:eastAsia="方正小标宋简体" w:cs="方正小标宋简体"/>
          <w:sz w:val="44"/>
          <w:szCs w:val="44"/>
        </w:rPr>
        <w:t>钦</w:t>
      </w:r>
      <w:r>
        <w:rPr>
          <w:rFonts w:hint="eastAsia" w:ascii="方正小标宋简体" w:eastAsia="方正小标宋简体"/>
          <w:sz w:val="44"/>
          <w:szCs w:val="44"/>
          <w:lang w:val="en-US" w:eastAsia="zh-CN"/>
        </w:rPr>
        <w:t>州市农业农村局</w:t>
      </w:r>
      <w:r>
        <w:rPr>
          <w:rFonts w:hint="eastAsia" w:ascii="方正小标宋简体" w:eastAsia="方正小标宋简体"/>
          <w:sz w:val="44"/>
          <w:szCs w:val="44"/>
        </w:rPr>
        <w:t>关于印发</w:t>
      </w:r>
      <w:r>
        <w:rPr>
          <w:rFonts w:hint="eastAsia" w:ascii="方正小标宋简体" w:eastAsia="方正小标宋简体"/>
          <w:color w:val="auto"/>
          <w:spacing w:val="-11"/>
          <w:sz w:val="44"/>
          <w:szCs w:val="44"/>
          <w:lang w:eastAsia="zh-CN"/>
        </w:rPr>
        <w:t>钦州市</w:t>
      </w:r>
      <w:r>
        <w:rPr>
          <w:rFonts w:hint="eastAsia" w:ascii="方正小标宋简体" w:eastAsia="方正小标宋简体"/>
          <w:color w:val="auto"/>
          <w:spacing w:val="-11"/>
          <w:sz w:val="44"/>
          <w:szCs w:val="44"/>
        </w:rPr>
        <w:t>农业产业化</w:t>
      </w:r>
    </w:p>
    <w:p>
      <w:pPr>
        <w:keepNext w:val="0"/>
        <w:keepLines w:val="0"/>
        <w:pageBreakBefore w:val="0"/>
        <w:kinsoku/>
        <w:overflowPunct/>
        <w:topLinePunct w:val="0"/>
        <w:autoSpaceDE w:val="0"/>
        <w:autoSpaceDN w:val="0"/>
        <w:bidi w:val="0"/>
        <w:adjustRightInd w:val="0"/>
        <w:snapToGrid w:val="0"/>
        <w:spacing w:line="54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重点龙头企业认定和运行监测</w:t>
      </w:r>
    </w:p>
    <w:p>
      <w:pPr>
        <w:keepNext w:val="0"/>
        <w:keepLines w:val="0"/>
        <w:pageBreakBefore w:val="0"/>
        <w:kinsoku/>
        <w:overflowPunct/>
        <w:topLinePunct w:val="0"/>
        <w:autoSpaceDE w:val="0"/>
        <w:autoSpaceDN w:val="0"/>
        <w:bidi w:val="0"/>
        <w:adjustRightInd w:val="0"/>
        <w:snapToGrid w:val="0"/>
        <w:spacing w:line="540" w:lineRule="exact"/>
        <w:jc w:val="center"/>
        <w:textAlignment w:val="auto"/>
        <w:rPr>
          <w:rFonts w:hint="eastAsia"/>
          <w:lang w:eastAsia="zh-CN"/>
        </w:rPr>
      </w:pPr>
      <w:r>
        <w:rPr>
          <w:rFonts w:hint="eastAsia" w:ascii="方正小标宋简体" w:eastAsia="方正小标宋简体"/>
          <w:color w:val="auto"/>
          <w:sz w:val="44"/>
          <w:szCs w:val="44"/>
        </w:rPr>
        <w:t>管理办法</w:t>
      </w:r>
      <w:r>
        <w:rPr>
          <w:rFonts w:hint="eastAsia" w:ascii="方正小标宋简体" w:eastAsia="方正小标宋简体"/>
          <w:sz w:val="44"/>
          <w:szCs w:val="44"/>
        </w:rPr>
        <w:t>的通知</w:t>
      </w:r>
    </w:p>
    <w:p>
      <w:pPr>
        <w:keepNext w:val="0"/>
        <w:keepLines w:val="0"/>
        <w:pageBreakBefore w:val="0"/>
        <w:kinsoku/>
        <w:wordWrap/>
        <w:overflowPunct/>
        <w:topLinePunct w:val="0"/>
        <w:bidi w:val="0"/>
        <w:adjustRightInd/>
        <w:snapToGrid/>
        <w:spacing w:line="540" w:lineRule="exact"/>
        <w:textAlignment w:val="auto"/>
        <w:rPr>
          <w:rFonts w:hint="eastAsia" w:eastAsia="仿宋_GB2312"/>
          <w:snapToGrid w:val="0"/>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both"/>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各</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县（区）</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人民政府</w:t>
      </w:r>
      <w:bookmarkStart w:id="0" w:name="_Toc15372582"/>
      <w:bookmarkStart w:id="1" w:name="_Toc14295"/>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bookmarkEnd w:id="0"/>
      <w:bookmarkEnd w:id="1"/>
      <w:r>
        <w:rPr>
          <w:rFonts w:hint="eastAsia" w:ascii="仿宋_GB2312" w:hAnsi="仿宋_GB2312" w:eastAsia="仿宋_GB2312" w:cs="仿宋_GB2312"/>
          <w:color w:val="auto"/>
          <w:sz w:val="32"/>
          <w:szCs w:val="32"/>
          <w:lang w:eastAsia="zh-CN"/>
        </w:rPr>
        <w:t>各开发区、管理区管委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、市直及驻钦各有关单位</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color w:val="333333"/>
          <w:sz w:val="32"/>
          <w:szCs w:val="32"/>
        </w:rPr>
        <w:t>根据全面实施乡村振兴战略，加快农业农村现代化的新要求，</w:t>
      </w:r>
      <w:r>
        <w:rPr>
          <w:rFonts w:hint="eastAsia" w:ascii="仿宋_GB2312" w:hAnsi="仿宋_GB2312" w:eastAsia="仿宋_GB2312" w:cs="仿宋_GB2312"/>
          <w:sz w:val="32"/>
          <w:szCs w:val="32"/>
        </w:rPr>
        <w:t>为进一步完善</w:t>
      </w:r>
      <w:r>
        <w:rPr>
          <w:rFonts w:hint="eastAsia" w:ascii="仿宋_GB2312" w:hAnsi="仿宋_GB2312" w:eastAsia="仿宋_GB2312" w:cs="仿宋_GB2312"/>
          <w:sz w:val="32"/>
          <w:szCs w:val="32"/>
          <w:lang w:eastAsia="zh-CN"/>
        </w:rPr>
        <w:t>钦州市</w:t>
      </w:r>
      <w:r>
        <w:rPr>
          <w:rFonts w:hint="eastAsia" w:ascii="仿宋_GB2312" w:hAnsi="仿宋_GB2312" w:eastAsia="仿宋_GB2312" w:cs="仿宋_GB2312"/>
          <w:sz w:val="32"/>
          <w:szCs w:val="32"/>
        </w:rPr>
        <w:t>农业产业化重点龙头企业认定和运行监测工作，培育发展壮大农业龙头企业，</w:t>
      </w:r>
      <w:r>
        <w:rPr>
          <w:rFonts w:hint="eastAsia" w:ascii="仿宋_GB2312" w:hAnsi="仿宋_GB2312" w:eastAsia="仿宋_GB2312" w:cs="仿宋_GB2312"/>
          <w:snapToGrid w:val="0"/>
          <w:sz w:val="32"/>
          <w:szCs w:val="32"/>
        </w:rPr>
        <w:t>经</w:t>
      </w:r>
      <w:r>
        <w:rPr>
          <w:rFonts w:hint="eastAsia" w:ascii="仿宋_GB2312" w:hAnsi="仿宋_GB2312" w:eastAsia="仿宋_GB2312" w:cs="仿宋_GB2312"/>
          <w:snapToGrid w:val="0"/>
          <w:sz w:val="32"/>
          <w:szCs w:val="32"/>
          <w:lang w:eastAsia="zh-CN"/>
        </w:rPr>
        <w:t>钦州市</w:t>
      </w:r>
      <w:r>
        <w:rPr>
          <w:rFonts w:hint="eastAsia" w:ascii="仿宋_GB2312" w:hAnsi="仿宋_GB2312" w:eastAsia="仿宋_GB2312" w:cs="仿宋_GB2312"/>
          <w:snapToGrid w:val="0"/>
          <w:sz w:val="32"/>
          <w:szCs w:val="32"/>
        </w:rPr>
        <w:t>人民政府同意，现将</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color w:val="auto"/>
          <w:sz w:val="32"/>
          <w:szCs w:val="32"/>
          <w:lang w:eastAsia="zh-CN"/>
        </w:rPr>
        <w:t>钦州市</w:t>
      </w:r>
      <w:r>
        <w:rPr>
          <w:rFonts w:hint="eastAsia" w:ascii="仿宋_GB2312" w:hAnsi="仿宋_GB2312" w:eastAsia="仿宋_GB2312" w:cs="仿宋_GB2312"/>
          <w:snapToGrid w:val="0"/>
          <w:color w:val="auto"/>
          <w:sz w:val="32"/>
          <w:szCs w:val="32"/>
        </w:rPr>
        <w:t>农业产业化重点龙头企业认定</w:t>
      </w:r>
      <w:r>
        <w:rPr>
          <w:rFonts w:hint="eastAsia" w:ascii="仿宋_GB2312" w:hAnsi="仿宋_GB2312" w:eastAsia="仿宋_GB2312" w:cs="仿宋_GB2312"/>
          <w:color w:val="auto"/>
          <w:sz w:val="32"/>
          <w:szCs w:val="32"/>
        </w:rPr>
        <w:t>和运行监测管理办法</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sz w:val="32"/>
          <w:szCs w:val="32"/>
        </w:rPr>
        <w:t>印发给你们，请贯彻执行。</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napToGrid w:val="0"/>
          <w:sz w:val="32"/>
          <w:szCs w:val="32"/>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napToGrid w:val="0"/>
          <w:sz w:val="32"/>
          <w:szCs w:val="32"/>
        </w:rPr>
      </w:pPr>
    </w:p>
    <w:p>
      <w:pPr>
        <w:pStyle w:val="7"/>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40" w:lineRule="exact"/>
        <w:ind w:firstLine="640" w:firstLineChars="200"/>
        <w:jc w:val="right"/>
        <w:textAlignment w:val="auto"/>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 xml:space="preserve">                             钦州市农业农村局    </w:t>
      </w:r>
    </w:p>
    <w:p>
      <w:pPr>
        <w:pStyle w:val="7"/>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40" w:lineRule="exact"/>
        <w:ind w:firstLine="640" w:firstLineChars="200"/>
        <w:jc w:val="right"/>
        <w:textAlignment w:val="auto"/>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 xml:space="preserve">2021年3月25日    </w:t>
      </w:r>
    </w:p>
    <w:p>
      <w:pPr>
        <w:keepNext w:val="0"/>
        <w:keepLines w:val="0"/>
        <w:pageBreakBefore w:val="0"/>
        <w:kinsoku/>
        <w:wordWrap/>
        <w:overflowPunct/>
        <w:topLinePunct w:val="0"/>
        <w:autoSpaceDE w:val="0"/>
        <w:autoSpaceDN w:val="0"/>
        <w:bidi w:val="0"/>
        <w:adjustRightInd w:val="0"/>
        <w:snapToGrid w:val="0"/>
        <w:spacing w:line="540" w:lineRule="exact"/>
        <w:ind w:firstLine="3080" w:firstLineChars="700"/>
        <w:jc w:val="both"/>
        <w:textAlignment w:val="auto"/>
        <w:rPr>
          <w:rFonts w:ascii="方正小标宋简体" w:eastAsia="方正小标宋简体"/>
          <w:color w:val="auto"/>
          <w:sz w:val="44"/>
          <w:szCs w:val="44"/>
        </w:rPr>
      </w:pPr>
      <w:bookmarkStart w:id="2" w:name="_GoBack"/>
      <w:bookmarkEnd w:id="2"/>
      <w:r>
        <w:rPr>
          <w:rFonts w:ascii="方正小标宋简体" w:eastAsia="方正小标宋简体"/>
          <w:color w:val="auto"/>
          <w:sz w:val="44"/>
          <w:szCs w:val="44"/>
        </w:rPr>
        <w:br w:type="page"/>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钦州市</w:t>
      </w:r>
      <w:r>
        <w:rPr>
          <w:rFonts w:hint="eastAsia" w:ascii="方正小标宋简体" w:eastAsia="方正小标宋简体"/>
          <w:color w:val="auto"/>
          <w:sz w:val="44"/>
          <w:szCs w:val="44"/>
        </w:rPr>
        <w:t>农业产业化重点龙头企业</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认定和运行监测管理办法</w:t>
      </w:r>
    </w:p>
    <w:p>
      <w:pPr>
        <w:keepNext w:val="0"/>
        <w:keepLines w:val="0"/>
        <w:pageBreakBefore w:val="0"/>
        <w:widowControl w:val="0"/>
        <w:kinsoku/>
        <w:wordWrap/>
        <w:overflowPunct/>
        <w:topLinePunct w:val="0"/>
        <w:bidi w:val="0"/>
        <w:adjustRightInd w:val="0"/>
        <w:snapToGrid w:val="0"/>
        <w:spacing w:line="560" w:lineRule="exact"/>
        <w:textAlignment w:val="auto"/>
        <w:rPr>
          <w:rFonts w:eastAsia="黑体"/>
          <w:color w:val="auto"/>
          <w:kern w:val="0"/>
          <w:sz w:val="32"/>
          <w:szCs w:val="32"/>
        </w:rPr>
      </w:pPr>
    </w:p>
    <w:p>
      <w:pPr>
        <w:keepNext w:val="0"/>
        <w:keepLines w:val="0"/>
        <w:pageBreakBefore w:val="0"/>
        <w:widowControl w:val="0"/>
        <w:kinsoku/>
        <w:wordWrap/>
        <w:overflowPunct/>
        <w:topLinePunct w:val="0"/>
        <w:autoSpaceDE w:val="0"/>
        <w:autoSpaceDN w:val="0"/>
        <w:bidi w:val="0"/>
        <w:spacing w:line="560" w:lineRule="exact"/>
        <w:jc w:val="center"/>
        <w:textAlignment w:val="auto"/>
        <w:rPr>
          <w:rFonts w:eastAsia="黑体"/>
          <w:color w:val="auto"/>
          <w:sz w:val="32"/>
          <w:szCs w:val="32"/>
        </w:rPr>
      </w:pPr>
      <w:r>
        <w:rPr>
          <w:rFonts w:hint="eastAsia" w:eastAsia="黑体"/>
          <w:color w:val="auto"/>
          <w:sz w:val="32"/>
          <w:szCs w:val="32"/>
        </w:rPr>
        <w:t xml:space="preserve">第一章  </w:t>
      </w:r>
      <w:r>
        <w:rPr>
          <w:rFonts w:eastAsia="黑体"/>
          <w:color w:val="auto"/>
          <w:sz w:val="32"/>
          <w:szCs w:val="32"/>
        </w:rPr>
        <w:t>总 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eastAsia="仿宋_GB2312"/>
          <w:color w:val="auto"/>
          <w:sz w:val="32"/>
          <w:szCs w:val="32"/>
        </w:rPr>
      </w:pPr>
      <w:r>
        <w:rPr>
          <w:rFonts w:eastAsia="黑体"/>
          <w:color w:val="auto"/>
          <w:sz w:val="32"/>
          <w:szCs w:val="32"/>
        </w:rPr>
        <w:t xml:space="preserve">第一条  </w:t>
      </w:r>
      <w:r>
        <w:rPr>
          <w:rFonts w:eastAsia="仿宋_GB2312"/>
          <w:color w:val="auto"/>
          <w:sz w:val="32"/>
          <w:szCs w:val="32"/>
        </w:rPr>
        <w:t>根据</w:t>
      </w:r>
      <w:r>
        <w:rPr>
          <w:rFonts w:hint="eastAsia" w:ascii="Times New Roman" w:hAnsi="Times New Roman" w:eastAsia="仿宋_GB2312" w:cs="Times New Roman"/>
          <w:snapToGrid w:val="0"/>
          <w:color w:val="auto"/>
          <w:sz w:val="32"/>
          <w:szCs w:val="32"/>
          <w:lang w:eastAsia="zh-CN"/>
        </w:rPr>
        <w:t>《自治区农业农村厅关于印发自治区</w:t>
      </w:r>
      <w:r>
        <w:rPr>
          <w:rFonts w:ascii="Times New Roman" w:hAnsi="Times New Roman" w:eastAsia="仿宋_GB2312" w:cs="Times New Roman"/>
          <w:snapToGrid w:val="0"/>
          <w:color w:val="auto"/>
          <w:sz w:val="32"/>
          <w:szCs w:val="32"/>
        </w:rPr>
        <w:t>农业产业化重点龙头企业认定</w:t>
      </w:r>
      <w:r>
        <w:rPr>
          <w:rFonts w:ascii="Times New Roman" w:hAnsi="Times New Roman" w:eastAsia="仿宋_GB2312" w:cs="Times New Roman"/>
          <w:color w:val="auto"/>
          <w:sz w:val="32"/>
          <w:szCs w:val="32"/>
        </w:rPr>
        <w:t>和运行监测管理办法</w:t>
      </w:r>
      <w:r>
        <w:rPr>
          <w:rFonts w:hint="eastAsia" w:eastAsia="仿宋_GB2312" w:cs="Times New Roman"/>
          <w:color w:val="auto"/>
          <w:sz w:val="32"/>
          <w:szCs w:val="32"/>
          <w:lang w:eastAsia="zh-CN"/>
        </w:rPr>
        <w:t>的通知</w:t>
      </w:r>
      <w:r>
        <w:rPr>
          <w:rFonts w:hint="default" w:ascii="Times New Roman" w:hAnsi="Times New Roman" w:eastAsia="仿宋_GB2312" w:cs="Times New Roman"/>
          <w:snapToGrid/>
          <w:color w:val="auto"/>
          <w:sz w:val="32"/>
          <w:szCs w:val="32"/>
          <w:lang w:eastAsia="zh-CN"/>
        </w:rPr>
        <w:t>》（桂农厅规〔</w:t>
      </w:r>
      <w:r>
        <w:rPr>
          <w:rFonts w:hint="default" w:ascii="Times New Roman" w:hAnsi="Times New Roman" w:eastAsia="仿宋_GB2312" w:cs="Times New Roman"/>
          <w:snapToGrid/>
          <w:color w:val="auto"/>
          <w:sz w:val="32"/>
          <w:szCs w:val="32"/>
          <w:lang w:val="en-US" w:eastAsia="zh-CN"/>
        </w:rPr>
        <w:t>2020</w:t>
      </w:r>
      <w:r>
        <w:rPr>
          <w:rFonts w:hint="default" w:ascii="Times New Roman" w:hAnsi="Times New Roman" w:eastAsia="仿宋_GB2312" w:cs="Times New Roman"/>
          <w:snapToGrid/>
          <w:color w:val="auto"/>
          <w:sz w:val="32"/>
          <w:szCs w:val="32"/>
          <w:lang w:eastAsia="zh-CN"/>
        </w:rPr>
        <w:t>〕</w:t>
      </w:r>
      <w:r>
        <w:rPr>
          <w:rFonts w:hint="default" w:ascii="Times New Roman" w:hAnsi="Times New Roman" w:eastAsia="仿宋_GB2312" w:cs="Times New Roman"/>
          <w:snapToGrid/>
          <w:color w:val="auto"/>
          <w:sz w:val="32"/>
          <w:szCs w:val="32"/>
          <w:lang w:val="en-US" w:eastAsia="zh-CN"/>
        </w:rPr>
        <w:t>12号</w:t>
      </w:r>
      <w:r>
        <w:rPr>
          <w:rFonts w:hint="default" w:ascii="Times New Roman" w:hAnsi="Times New Roman" w:eastAsia="仿宋_GB2312" w:cs="Times New Roman"/>
          <w:snapToGrid/>
          <w:color w:val="auto"/>
          <w:sz w:val="32"/>
          <w:szCs w:val="32"/>
          <w:lang w:eastAsia="zh-CN"/>
        </w:rPr>
        <w:t>）</w:t>
      </w:r>
      <w:r>
        <w:rPr>
          <w:rFonts w:hint="eastAsia" w:eastAsia="仿宋_GB2312" w:cs="Times New Roman"/>
          <w:snapToGrid/>
          <w:color w:val="auto"/>
          <w:sz w:val="32"/>
          <w:szCs w:val="32"/>
          <w:lang w:eastAsia="zh-CN"/>
        </w:rPr>
        <w:t>精神</w:t>
      </w:r>
      <w:r>
        <w:rPr>
          <w:rFonts w:hint="default" w:ascii="Times New Roman" w:hAnsi="Times New Roman" w:eastAsia="仿宋_GB2312" w:cs="Times New Roman"/>
          <w:snapToGrid/>
          <w:color w:val="auto"/>
          <w:sz w:val="32"/>
          <w:szCs w:val="32"/>
          <w:lang w:eastAsia="zh-CN"/>
        </w:rPr>
        <w:t>，</w:t>
      </w:r>
      <w:r>
        <w:rPr>
          <w:rFonts w:hint="eastAsia" w:eastAsia="仿宋_GB2312" w:cs="Times New Roman"/>
          <w:snapToGrid/>
          <w:color w:val="auto"/>
          <w:sz w:val="32"/>
          <w:szCs w:val="32"/>
          <w:lang w:eastAsia="zh-CN"/>
        </w:rPr>
        <w:t>按照</w:t>
      </w:r>
      <w:r>
        <w:rPr>
          <w:rFonts w:eastAsia="仿宋_GB2312"/>
          <w:color w:val="auto"/>
          <w:sz w:val="32"/>
          <w:szCs w:val="32"/>
        </w:rPr>
        <w:t>自治区</w:t>
      </w:r>
      <w:r>
        <w:rPr>
          <w:rFonts w:hint="eastAsia" w:eastAsia="仿宋_GB2312"/>
          <w:color w:val="auto"/>
          <w:sz w:val="32"/>
          <w:szCs w:val="32"/>
          <w:lang w:eastAsia="zh-CN"/>
        </w:rPr>
        <w:t>、钦州市</w:t>
      </w:r>
      <w:r>
        <w:rPr>
          <w:rFonts w:eastAsia="仿宋_GB2312"/>
          <w:color w:val="auto"/>
          <w:sz w:val="32"/>
          <w:szCs w:val="32"/>
        </w:rPr>
        <w:t>“强龙头、补链条、聚集群、提品质、创品牌、拓市场”的现代特色农业高质量发展思路，为进一步完善</w:t>
      </w:r>
      <w:r>
        <w:rPr>
          <w:rFonts w:hint="eastAsia" w:eastAsia="仿宋_GB2312"/>
          <w:color w:val="auto"/>
          <w:sz w:val="32"/>
          <w:szCs w:val="32"/>
          <w:lang w:eastAsia="zh-CN"/>
        </w:rPr>
        <w:t>钦州市</w:t>
      </w:r>
      <w:r>
        <w:rPr>
          <w:rFonts w:eastAsia="仿宋_GB2312"/>
          <w:color w:val="auto"/>
          <w:sz w:val="32"/>
          <w:szCs w:val="32"/>
        </w:rPr>
        <w:t>农业产业化重点龙头企业认定和运行监测工作，加强对</w:t>
      </w:r>
      <w:r>
        <w:rPr>
          <w:rFonts w:hint="eastAsia" w:eastAsia="仿宋_GB2312"/>
          <w:color w:val="auto"/>
          <w:sz w:val="32"/>
          <w:szCs w:val="32"/>
          <w:lang w:val="en-US" w:eastAsia="zh-CN"/>
        </w:rPr>
        <w:t>钦州市</w:t>
      </w:r>
      <w:r>
        <w:rPr>
          <w:rFonts w:eastAsia="仿宋_GB2312"/>
          <w:color w:val="auto"/>
          <w:sz w:val="32"/>
          <w:szCs w:val="32"/>
        </w:rPr>
        <w:t>农业产业化重点龙头企业的服务与扶持，培育壮大龙头企业，增强辐射带动能力，助力乡村振兴战略实施，制定本办法。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eastAsia="仿宋_GB2312"/>
          <w:color w:val="auto"/>
          <w:sz w:val="32"/>
          <w:szCs w:val="32"/>
        </w:rPr>
      </w:pPr>
      <w:r>
        <w:rPr>
          <w:rFonts w:eastAsia="黑体"/>
          <w:color w:val="auto"/>
          <w:sz w:val="32"/>
          <w:szCs w:val="32"/>
        </w:rPr>
        <w:t xml:space="preserve">第二条  </w:t>
      </w:r>
      <w:r>
        <w:rPr>
          <w:rFonts w:hint="eastAsia" w:eastAsia="仿宋_GB2312"/>
          <w:color w:val="auto"/>
          <w:sz w:val="32"/>
          <w:szCs w:val="32"/>
          <w:lang w:eastAsia="zh-CN"/>
        </w:rPr>
        <w:t>钦州市</w:t>
      </w:r>
      <w:r>
        <w:rPr>
          <w:rFonts w:eastAsia="仿宋_GB2312"/>
          <w:color w:val="auto"/>
          <w:sz w:val="32"/>
          <w:szCs w:val="32"/>
        </w:rPr>
        <w:t>农业产业化重点龙头企业（以下简称龙头企业）</w:t>
      </w:r>
      <w:r>
        <w:rPr>
          <w:rFonts w:eastAsia="仿宋_GB2312"/>
          <w:color w:val="auto"/>
          <w:kern w:val="0"/>
          <w:sz w:val="32"/>
          <w:szCs w:val="32"/>
        </w:rPr>
        <w:t>是</w:t>
      </w:r>
      <w:r>
        <w:rPr>
          <w:rFonts w:eastAsia="仿宋_GB2312"/>
          <w:color w:val="auto"/>
          <w:sz w:val="32"/>
          <w:szCs w:val="32"/>
        </w:rPr>
        <w:t>指以农产品生产、</w:t>
      </w:r>
      <w:r>
        <w:rPr>
          <w:rFonts w:eastAsia="仿宋_GB2312"/>
          <w:color w:val="auto"/>
          <w:sz w:val="32"/>
          <w:szCs w:val="32"/>
          <w:shd w:val="clear" w:color="auto" w:fill="FFFFFF"/>
        </w:rPr>
        <w:t>加工、流通或</w:t>
      </w:r>
      <w:r>
        <w:rPr>
          <w:rFonts w:eastAsia="仿宋_GB2312"/>
          <w:color w:val="auto"/>
          <w:kern w:val="0"/>
          <w:sz w:val="32"/>
          <w:szCs w:val="32"/>
        </w:rPr>
        <w:t>农业服务业</w:t>
      </w:r>
      <w:r>
        <w:rPr>
          <w:rFonts w:eastAsia="仿宋_GB2312"/>
          <w:color w:val="auto"/>
          <w:sz w:val="32"/>
          <w:szCs w:val="32"/>
          <w:shd w:val="clear" w:color="auto" w:fill="FFFFFF"/>
        </w:rPr>
        <w:t>为主业，通过合同、合作、股份合作等利益联结方式与新型农业经营主体或农户紧密联系，使农产品生产、加工、销售有机结合、相互促进，</w:t>
      </w:r>
      <w:r>
        <w:rPr>
          <w:rFonts w:hint="eastAsia" w:eastAsia="仿宋_GB2312"/>
          <w:color w:val="auto"/>
          <w:sz w:val="32"/>
          <w:szCs w:val="32"/>
        </w:rPr>
        <w:t>在规模和经营指标上达到规定标准并经</w:t>
      </w:r>
      <w:r>
        <w:rPr>
          <w:rFonts w:hint="eastAsia" w:eastAsia="仿宋_GB2312"/>
          <w:color w:val="auto"/>
          <w:sz w:val="32"/>
          <w:szCs w:val="32"/>
          <w:lang w:eastAsia="zh-CN"/>
        </w:rPr>
        <w:t>钦州市</w:t>
      </w:r>
      <w:r>
        <w:rPr>
          <w:rFonts w:hint="eastAsia" w:eastAsia="仿宋_GB2312"/>
          <w:color w:val="auto"/>
          <w:sz w:val="32"/>
          <w:szCs w:val="32"/>
        </w:rPr>
        <w:t>农业产业化联席会议审议</w:t>
      </w:r>
      <w:r>
        <w:rPr>
          <w:rFonts w:hint="eastAsia" w:eastAsia="仿宋_GB2312"/>
          <w:color w:val="auto"/>
          <w:sz w:val="32"/>
          <w:szCs w:val="32"/>
          <w:lang w:eastAsia="zh-CN"/>
        </w:rPr>
        <w:t>、钦州市人民政府审定，由钦州市</w:t>
      </w:r>
      <w:r>
        <w:rPr>
          <w:rFonts w:hint="eastAsia" w:eastAsia="仿宋_GB2312"/>
          <w:color w:val="auto"/>
          <w:sz w:val="32"/>
          <w:szCs w:val="32"/>
        </w:rPr>
        <w:t>农业农村</w:t>
      </w:r>
      <w:r>
        <w:rPr>
          <w:rFonts w:hint="eastAsia" w:eastAsia="仿宋_GB2312"/>
          <w:color w:val="auto"/>
          <w:sz w:val="32"/>
          <w:szCs w:val="32"/>
          <w:lang w:eastAsia="zh-CN"/>
        </w:rPr>
        <w:t>局</w:t>
      </w:r>
      <w:r>
        <w:rPr>
          <w:rFonts w:hint="eastAsia" w:eastAsia="仿宋_GB2312"/>
          <w:color w:val="auto"/>
          <w:sz w:val="32"/>
          <w:szCs w:val="32"/>
        </w:rPr>
        <w:t>发文公布认定的涉农企业。</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eastAsia="仿宋_GB2312"/>
          <w:b/>
          <w:color w:val="auto"/>
          <w:sz w:val="32"/>
          <w:szCs w:val="32"/>
        </w:rPr>
      </w:pPr>
      <w:r>
        <w:rPr>
          <w:rFonts w:eastAsia="黑体"/>
          <w:color w:val="auto"/>
          <w:sz w:val="32"/>
          <w:szCs w:val="32"/>
        </w:rPr>
        <w:t xml:space="preserve">第三条  </w:t>
      </w:r>
      <w:r>
        <w:rPr>
          <w:rFonts w:eastAsia="仿宋_GB2312"/>
          <w:color w:val="auto"/>
          <w:sz w:val="32"/>
          <w:szCs w:val="32"/>
        </w:rPr>
        <w:t>龙头企业认定和运行监测工作要遵循市场经济规律，引进竞争淘汰机制，发挥行业部门职能作用，加强日常监督管理，坚持公开、公平、公正原则，不干预企业经营自主权。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eastAsia="仿宋_GB2312"/>
          <w:color w:val="auto"/>
          <w:sz w:val="32"/>
          <w:szCs w:val="32"/>
        </w:rPr>
      </w:pPr>
      <w:r>
        <w:rPr>
          <w:rFonts w:eastAsia="黑体"/>
          <w:color w:val="auto"/>
          <w:sz w:val="32"/>
          <w:szCs w:val="32"/>
        </w:rPr>
        <w:t xml:space="preserve">第四条  </w:t>
      </w:r>
      <w:r>
        <w:rPr>
          <w:rFonts w:eastAsia="仿宋_GB2312"/>
          <w:color w:val="auto"/>
          <w:sz w:val="32"/>
          <w:szCs w:val="32"/>
        </w:rPr>
        <w:t>凡申报或已认定为龙头企业的企业，适用本办法。</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eastAsia="黑体"/>
          <w:color w:val="auto"/>
          <w:sz w:val="32"/>
          <w:szCs w:val="32"/>
        </w:rPr>
      </w:pPr>
      <w:r>
        <w:rPr>
          <w:rFonts w:hint="eastAsia" w:eastAsia="黑体"/>
          <w:color w:val="auto"/>
          <w:sz w:val="32"/>
          <w:szCs w:val="32"/>
        </w:rPr>
        <w:t xml:space="preserve">第二章  </w:t>
      </w:r>
      <w:r>
        <w:rPr>
          <w:rFonts w:eastAsia="黑体"/>
          <w:color w:val="auto"/>
          <w:sz w:val="32"/>
          <w:szCs w:val="32"/>
        </w:rPr>
        <w:t>申 报</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黑体"/>
          <w:snapToGrid w:val="0"/>
          <w:color w:val="auto"/>
          <w:kern w:val="0"/>
          <w:sz w:val="32"/>
          <w:szCs w:val="32"/>
        </w:rPr>
      </w:pPr>
      <w:r>
        <w:rPr>
          <w:rFonts w:eastAsia="黑体"/>
          <w:color w:val="auto"/>
          <w:sz w:val="32"/>
          <w:szCs w:val="32"/>
        </w:rPr>
        <w:t xml:space="preserve">第五条  </w:t>
      </w:r>
      <w:r>
        <w:rPr>
          <w:rFonts w:eastAsia="仿宋_GB2312"/>
          <w:color w:val="auto"/>
          <w:sz w:val="32"/>
          <w:szCs w:val="32"/>
        </w:rPr>
        <w:t>申报企业应符合以下基本标准：</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snapToGrid w:val="0"/>
          <w:color w:val="auto"/>
          <w:kern w:val="0"/>
          <w:sz w:val="32"/>
          <w:szCs w:val="32"/>
        </w:rPr>
      </w:pPr>
      <w:r>
        <w:rPr>
          <w:rFonts w:eastAsia="楷体_GB2312"/>
          <w:snapToGrid w:val="0"/>
          <w:color w:val="auto"/>
          <w:kern w:val="0"/>
          <w:sz w:val="32"/>
          <w:szCs w:val="32"/>
        </w:rPr>
        <w:t>（一）企业所在地。</w:t>
      </w:r>
      <w:r>
        <w:rPr>
          <w:rFonts w:eastAsia="仿宋_GB2312"/>
          <w:color w:val="auto"/>
          <w:kern w:val="0"/>
          <w:sz w:val="32"/>
          <w:szCs w:val="32"/>
        </w:rPr>
        <w:t>依法</w:t>
      </w:r>
      <w:r>
        <w:rPr>
          <w:rFonts w:eastAsia="仿宋_GB2312"/>
          <w:snapToGrid w:val="0"/>
          <w:color w:val="auto"/>
          <w:kern w:val="0"/>
          <w:sz w:val="32"/>
          <w:szCs w:val="32"/>
        </w:rPr>
        <w:t>在</w:t>
      </w:r>
      <w:r>
        <w:rPr>
          <w:rFonts w:hint="eastAsia" w:eastAsia="仿宋_GB2312"/>
          <w:snapToGrid w:val="0"/>
          <w:color w:val="auto"/>
          <w:kern w:val="0"/>
          <w:sz w:val="32"/>
          <w:szCs w:val="32"/>
          <w:lang w:eastAsia="zh-CN"/>
        </w:rPr>
        <w:t>钦州市</w:t>
      </w:r>
      <w:r>
        <w:rPr>
          <w:rFonts w:eastAsia="仿宋_GB2312"/>
          <w:snapToGrid w:val="0"/>
          <w:color w:val="auto"/>
          <w:kern w:val="0"/>
          <w:sz w:val="32"/>
          <w:szCs w:val="32"/>
        </w:rPr>
        <w:t>内注册登记的以</w:t>
      </w:r>
      <w:r>
        <w:rPr>
          <w:rFonts w:eastAsia="仿宋_GB2312"/>
          <w:color w:val="auto"/>
          <w:kern w:val="0"/>
          <w:sz w:val="32"/>
          <w:szCs w:val="32"/>
        </w:rPr>
        <w:t>农产品生产、加工、流通或农业服务业为主业，</w:t>
      </w:r>
      <w:r>
        <w:rPr>
          <w:rFonts w:eastAsia="仿宋_GB2312"/>
          <w:snapToGrid w:val="0"/>
          <w:color w:val="auto"/>
          <w:kern w:val="0"/>
          <w:sz w:val="32"/>
          <w:szCs w:val="32"/>
        </w:rPr>
        <w:t>具有独立法人资格的</w:t>
      </w:r>
      <w:r>
        <w:rPr>
          <w:rFonts w:eastAsia="仿宋_GB2312"/>
          <w:color w:val="auto"/>
          <w:sz w:val="32"/>
          <w:szCs w:val="32"/>
        </w:rPr>
        <w:t>涉农</w:t>
      </w:r>
      <w:r>
        <w:rPr>
          <w:rFonts w:eastAsia="仿宋_GB2312"/>
          <w:snapToGrid w:val="0"/>
          <w:color w:val="auto"/>
          <w:kern w:val="0"/>
          <w:sz w:val="32"/>
          <w:szCs w:val="32"/>
        </w:rPr>
        <w:t>企业</w:t>
      </w:r>
      <w:r>
        <w:rPr>
          <w:rFonts w:eastAsia="仿宋_GB2312"/>
          <w:color w:val="auto"/>
          <w:kern w:val="0"/>
          <w:sz w:val="32"/>
          <w:szCs w:val="32"/>
        </w:rPr>
        <w:t>。</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textAlignment w:val="auto"/>
        <w:rPr>
          <w:rFonts w:eastAsia="仿宋_GB2312"/>
          <w:color w:val="auto"/>
          <w:kern w:val="0"/>
          <w:sz w:val="32"/>
          <w:szCs w:val="32"/>
        </w:rPr>
      </w:pPr>
      <w:r>
        <w:rPr>
          <w:rFonts w:eastAsia="楷体_GB2312"/>
          <w:snapToGrid w:val="0"/>
          <w:color w:val="auto"/>
          <w:kern w:val="0"/>
          <w:sz w:val="32"/>
          <w:szCs w:val="32"/>
        </w:rPr>
        <w:t>（二）企业经营业务。</w:t>
      </w:r>
      <w:r>
        <w:rPr>
          <w:rFonts w:eastAsia="仿宋_GB2312"/>
          <w:color w:val="auto"/>
          <w:kern w:val="0"/>
          <w:sz w:val="32"/>
          <w:szCs w:val="32"/>
        </w:rPr>
        <w:t>企业中农产品生产、加工、流通或农业服务业的销售收入（交易额）占总销售收入（总交易额）70%以上。</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楷体_GB2312"/>
          <w:snapToGrid w:val="0"/>
          <w:color w:val="auto"/>
          <w:kern w:val="0"/>
          <w:sz w:val="32"/>
          <w:szCs w:val="32"/>
        </w:rPr>
        <w:t>（三）企业规模。</w:t>
      </w:r>
      <w:r>
        <w:rPr>
          <w:rFonts w:eastAsia="仿宋_GB2312"/>
          <w:color w:val="auto"/>
          <w:sz w:val="32"/>
          <w:szCs w:val="32"/>
        </w:rPr>
        <w:t>总资产</w:t>
      </w:r>
      <w:r>
        <w:rPr>
          <w:rFonts w:hint="eastAsia" w:eastAsia="仿宋_GB2312"/>
          <w:color w:val="auto"/>
          <w:sz w:val="32"/>
          <w:szCs w:val="32"/>
          <w:lang w:val="en-US" w:eastAsia="zh-CN"/>
        </w:rPr>
        <w:t>1000</w:t>
      </w:r>
      <w:r>
        <w:rPr>
          <w:rFonts w:eastAsia="仿宋_GB2312"/>
          <w:color w:val="auto"/>
          <w:sz w:val="32"/>
          <w:szCs w:val="32"/>
        </w:rPr>
        <w:t>万元以上</w:t>
      </w:r>
      <w:r>
        <w:rPr>
          <w:rFonts w:hint="eastAsia" w:eastAsia="仿宋_GB2312"/>
          <w:color w:val="auto"/>
          <w:sz w:val="32"/>
          <w:szCs w:val="32"/>
        </w:rPr>
        <w:t>，</w:t>
      </w:r>
      <w:r>
        <w:rPr>
          <w:rFonts w:eastAsia="仿宋_GB2312"/>
          <w:color w:val="auto"/>
          <w:sz w:val="32"/>
          <w:szCs w:val="32"/>
        </w:rPr>
        <w:t>固定资产</w:t>
      </w:r>
      <w:r>
        <w:rPr>
          <w:rFonts w:hint="eastAsia" w:eastAsia="仿宋_GB2312"/>
          <w:color w:val="auto"/>
          <w:sz w:val="32"/>
          <w:szCs w:val="32"/>
          <w:lang w:val="en-US" w:eastAsia="zh-CN"/>
        </w:rPr>
        <w:t>500</w:t>
      </w:r>
      <w:r>
        <w:rPr>
          <w:rFonts w:eastAsia="仿宋_GB2312"/>
          <w:color w:val="auto"/>
          <w:sz w:val="32"/>
          <w:szCs w:val="32"/>
        </w:rPr>
        <w:t xml:space="preserve">万元以上（农产品专业批发市场和电子商务类除外）；年销售收入或交易额达到以下标准: </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 xml:space="preserve">1. </w:t>
      </w:r>
      <w:r>
        <w:rPr>
          <w:rFonts w:eastAsia="仿宋_GB2312"/>
          <w:color w:val="auto"/>
          <w:kern w:val="0"/>
          <w:sz w:val="32"/>
          <w:szCs w:val="32"/>
        </w:rPr>
        <w:t>农林种植类：主要指</w:t>
      </w:r>
      <w:r>
        <w:rPr>
          <w:rFonts w:eastAsia="仿宋_GB2312"/>
          <w:color w:val="auto"/>
          <w:sz w:val="32"/>
          <w:szCs w:val="32"/>
        </w:rPr>
        <w:t>从事粮食、水果、蔬菜、茶叶、油茶、食用菌、中药材、糖料蔗、花卉、林木等种植企业，年销售收入</w:t>
      </w:r>
      <w:r>
        <w:rPr>
          <w:rFonts w:hint="eastAsia" w:eastAsia="仿宋_GB2312"/>
          <w:color w:val="auto"/>
          <w:sz w:val="32"/>
          <w:szCs w:val="32"/>
          <w:lang w:val="en-US" w:eastAsia="zh-CN"/>
        </w:rPr>
        <w:t>1000</w:t>
      </w:r>
      <w:r>
        <w:rPr>
          <w:rFonts w:eastAsia="仿宋_GB2312"/>
          <w:color w:val="auto"/>
          <w:sz w:val="32"/>
          <w:szCs w:val="32"/>
        </w:rPr>
        <w:t>万元以上。</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2. 畜禽</w:t>
      </w:r>
      <w:r>
        <w:rPr>
          <w:rFonts w:eastAsia="仿宋_GB2312"/>
          <w:bCs/>
          <w:color w:val="auto"/>
          <w:kern w:val="0"/>
          <w:sz w:val="32"/>
          <w:szCs w:val="32"/>
        </w:rPr>
        <w:t>养殖</w:t>
      </w:r>
      <w:r>
        <w:rPr>
          <w:rFonts w:eastAsia="仿宋_GB2312"/>
          <w:color w:val="auto"/>
          <w:sz w:val="32"/>
          <w:szCs w:val="32"/>
        </w:rPr>
        <w:t>类：年销售收入</w:t>
      </w:r>
      <w:r>
        <w:rPr>
          <w:rFonts w:hint="eastAsia" w:eastAsia="仿宋_GB2312"/>
          <w:color w:val="auto"/>
          <w:sz w:val="32"/>
          <w:szCs w:val="32"/>
          <w:lang w:val="en-US" w:eastAsia="zh-CN"/>
        </w:rPr>
        <w:t>5000</w:t>
      </w:r>
      <w:r>
        <w:rPr>
          <w:rFonts w:hint="eastAsia" w:eastAsia="仿宋_GB2312"/>
          <w:color w:val="auto"/>
          <w:sz w:val="32"/>
          <w:szCs w:val="32"/>
          <w:lang w:eastAsia="zh-CN"/>
        </w:rPr>
        <w:t>万</w:t>
      </w:r>
      <w:r>
        <w:rPr>
          <w:rFonts w:eastAsia="仿宋_GB2312"/>
          <w:color w:val="auto"/>
          <w:sz w:val="32"/>
          <w:szCs w:val="32"/>
        </w:rPr>
        <w:t>元以上。</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3. 水产</w:t>
      </w:r>
      <w:r>
        <w:rPr>
          <w:rFonts w:eastAsia="仿宋_GB2312"/>
          <w:bCs/>
          <w:color w:val="auto"/>
          <w:kern w:val="0"/>
          <w:sz w:val="32"/>
          <w:szCs w:val="32"/>
        </w:rPr>
        <w:t>养殖</w:t>
      </w:r>
      <w:r>
        <w:rPr>
          <w:rFonts w:eastAsia="仿宋_GB2312"/>
          <w:color w:val="auto"/>
          <w:sz w:val="32"/>
          <w:szCs w:val="32"/>
        </w:rPr>
        <w:t>类：年销售收入</w:t>
      </w:r>
      <w:r>
        <w:rPr>
          <w:rFonts w:hint="eastAsia" w:eastAsia="仿宋_GB2312"/>
          <w:color w:val="auto"/>
          <w:sz w:val="32"/>
          <w:szCs w:val="32"/>
          <w:lang w:val="en-US" w:eastAsia="zh-CN"/>
        </w:rPr>
        <w:t>2000</w:t>
      </w:r>
      <w:r>
        <w:rPr>
          <w:rFonts w:eastAsia="仿宋_GB2312"/>
          <w:color w:val="auto"/>
          <w:sz w:val="32"/>
          <w:szCs w:val="32"/>
        </w:rPr>
        <w:t>万元以上。</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4. 草食动物养殖类：年销售收入</w:t>
      </w:r>
      <w:r>
        <w:rPr>
          <w:rFonts w:hint="eastAsia" w:eastAsia="仿宋_GB2312"/>
          <w:color w:val="auto"/>
          <w:sz w:val="32"/>
          <w:szCs w:val="32"/>
          <w:lang w:val="en-US" w:eastAsia="zh-CN"/>
        </w:rPr>
        <w:t>1000</w:t>
      </w:r>
      <w:r>
        <w:rPr>
          <w:rFonts w:eastAsia="仿宋_GB2312"/>
          <w:color w:val="auto"/>
          <w:sz w:val="32"/>
          <w:szCs w:val="32"/>
        </w:rPr>
        <w:t>万元以上。</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5. 农产品加工、流通类：</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（1）制糖业：年销售收入</w:t>
      </w:r>
      <w:r>
        <w:rPr>
          <w:rFonts w:hint="eastAsia" w:eastAsia="仿宋_GB2312"/>
          <w:color w:val="auto"/>
          <w:sz w:val="32"/>
          <w:szCs w:val="32"/>
          <w:lang w:val="en-US" w:eastAsia="zh-CN"/>
        </w:rPr>
        <w:t>5</w:t>
      </w:r>
      <w:r>
        <w:rPr>
          <w:rFonts w:eastAsia="仿宋_GB2312"/>
          <w:color w:val="auto"/>
          <w:sz w:val="32"/>
          <w:szCs w:val="32"/>
        </w:rPr>
        <w:t>亿元以上。</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（2）水产品、畜禽产品：年销售收入</w:t>
      </w:r>
      <w:r>
        <w:rPr>
          <w:rFonts w:hint="eastAsia" w:eastAsia="仿宋_GB2312"/>
          <w:color w:val="auto"/>
          <w:sz w:val="32"/>
          <w:szCs w:val="32"/>
          <w:lang w:val="en-US" w:eastAsia="zh-CN"/>
        </w:rPr>
        <w:t>1</w:t>
      </w:r>
      <w:r>
        <w:rPr>
          <w:rFonts w:eastAsia="仿宋_GB2312"/>
          <w:color w:val="auto"/>
          <w:sz w:val="32"/>
          <w:szCs w:val="32"/>
        </w:rPr>
        <w:t>亿元以上。</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（3）林产品、饲料、酿造、非粮生物质能源：年销售收入</w:t>
      </w:r>
      <w:r>
        <w:rPr>
          <w:rFonts w:hint="eastAsia" w:eastAsia="仿宋_GB2312"/>
          <w:color w:val="auto"/>
          <w:sz w:val="32"/>
          <w:szCs w:val="32"/>
          <w:lang w:val="en-US" w:eastAsia="zh-CN"/>
        </w:rPr>
        <w:t>5000万</w:t>
      </w:r>
      <w:r>
        <w:rPr>
          <w:rFonts w:eastAsia="仿宋_GB2312"/>
          <w:color w:val="auto"/>
          <w:sz w:val="32"/>
          <w:szCs w:val="32"/>
        </w:rPr>
        <w:t>元以上。</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（4）粮食、榨油、果品、蔬菜、茧丝绸、中药材、茶叶、乳产品、蜂产品、农副产品：年销售收入</w:t>
      </w:r>
      <w:r>
        <w:rPr>
          <w:rFonts w:hint="eastAsia" w:eastAsia="仿宋_GB2312"/>
          <w:color w:val="auto"/>
          <w:sz w:val="32"/>
          <w:szCs w:val="32"/>
          <w:lang w:val="en-US" w:eastAsia="zh-CN"/>
        </w:rPr>
        <w:t>2000</w:t>
      </w:r>
      <w:r>
        <w:rPr>
          <w:rFonts w:eastAsia="仿宋_GB2312"/>
          <w:color w:val="auto"/>
          <w:sz w:val="32"/>
          <w:szCs w:val="32"/>
        </w:rPr>
        <w:t>万元以上。</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kern w:val="0"/>
          <w:sz w:val="32"/>
          <w:szCs w:val="32"/>
        </w:rPr>
        <w:t xml:space="preserve">6. </w:t>
      </w:r>
      <w:r>
        <w:rPr>
          <w:rFonts w:eastAsia="仿宋_GB2312"/>
          <w:color w:val="auto"/>
          <w:sz w:val="32"/>
          <w:szCs w:val="32"/>
        </w:rPr>
        <w:t>农产品专业批发市场类：年交易额</w:t>
      </w:r>
      <w:r>
        <w:rPr>
          <w:rFonts w:hint="eastAsia" w:eastAsia="仿宋_GB2312"/>
          <w:color w:val="auto"/>
          <w:sz w:val="32"/>
          <w:szCs w:val="32"/>
          <w:lang w:val="en-US" w:eastAsia="zh-CN"/>
        </w:rPr>
        <w:t>3</w:t>
      </w:r>
      <w:r>
        <w:rPr>
          <w:rFonts w:eastAsia="仿宋_GB2312"/>
          <w:color w:val="auto"/>
          <w:sz w:val="32"/>
          <w:szCs w:val="32"/>
        </w:rPr>
        <w:t>亿元以上。</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kern w:val="0"/>
          <w:sz w:val="32"/>
          <w:szCs w:val="32"/>
        </w:rPr>
      </w:pPr>
      <w:r>
        <w:rPr>
          <w:rFonts w:eastAsia="仿宋_GB2312"/>
          <w:bCs/>
          <w:color w:val="auto"/>
          <w:sz w:val="32"/>
          <w:szCs w:val="32"/>
        </w:rPr>
        <w:t xml:space="preserve">7. </w:t>
      </w:r>
      <w:r>
        <w:rPr>
          <w:rFonts w:eastAsia="仿宋_GB2312"/>
          <w:color w:val="auto"/>
          <w:kern w:val="0"/>
          <w:sz w:val="32"/>
          <w:szCs w:val="32"/>
        </w:rPr>
        <w:t>农业服务类：主要指</w:t>
      </w:r>
      <w:r>
        <w:rPr>
          <w:rFonts w:eastAsia="仿宋_GB2312"/>
          <w:color w:val="auto"/>
          <w:sz w:val="32"/>
          <w:szCs w:val="32"/>
        </w:rPr>
        <w:t>从事电子商务、休闲农业、农资生产及农机服务等企业，年销售收入（交易额）</w:t>
      </w:r>
      <w:r>
        <w:rPr>
          <w:rFonts w:hint="eastAsia" w:eastAsia="仿宋_GB2312"/>
          <w:color w:val="auto"/>
          <w:sz w:val="32"/>
          <w:szCs w:val="32"/>
          <w:lang w:val="en-US" w:eastAsia="zh-CN"/>
        </w:rPr>
        <w:t>2000</w:t>
      </w:r>
      <w:r>
        <w:rPr>
          <w:rFonts w:eastAsia="仿宋_GB2312"/>
          <w:color w:val="auto"/>
          <w:sz w:val="32"/>
          <w:szCs w:val="32"/>
        </w:rPr>
        <w:t>万元以上。</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楷体_GB2312"/>
          <w:snapToGrid w:val="0"/>
          <w:color w:val="auto"/>
          <w:kern w:val="0"/>
          <w:sz w:val="32"/>
          <w:szCs w:val="32"/>
        </w:rPr>
      </w:pPr>
      <w:r>
        <w:rPr>
          <w:rFonts w:eastAsia="楷体_GB2312"/>
          <w:snapToGrid w:val="0"/>
          <w:color w:val="auto"/>
          <w:kern w:val="0"/>
          <w:sz w:val="32"/>
          <w:szCs w:val="32"/>
        </w:rPr>
        <w:t>（四）企业效益。</w:t>
      </w:r>
      <w:r>
        <w:rPr>
          <w:rFonts w:eastAsia="仿宋_GB2312"/>
          <w:snapToGrid w:val="0"/>
          <w:color w:val="auto"/>
          <w:kern w:val="0"/>
          <w:sz w:val="32"/>
          <w:szCs w:val="32"/>
        </w:rPr>
        <w:t>企业诚信守法经营，按时发放工资，按时缴纳社会保险，</w:t>
      </w:r>
      <w:r>
        <w:rPr>
          <w:rFonts w:eastAsia="仿宋_GB2312"/>
          <w:color w:val="auto"/>
          <w:kern w:val="0"/>
          <w:sz w:val="32"/>
          <w:szCs w:val="32"/>
        </w:rPr>
        <w:t>按月计提固定资产折旧，</w:t>
      </w:r>
      <w:r>
        <w:rPr>
          <w:rFonts w:eastAsia="仿宋_GB2312"/>
          <w:color w:val="auto"/>
          <w:sz w:val="32"/>
          <w:szCs w:val="32"/>
        </w:rPr>
        <w:t>无重大涉税违法行为，申报上一年度不出现亏损。</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楷体_GB2312"/>
          <w:snapToGrid w:val="0"/>
          <w:color w:val="auto"/>
          <w:kern w:val="0"/>
          <w:sz w:val="32"/>
          <w:szCs w:val="32"/>
        </w:rPr>
        <w:t>（五）企业负债与信用。</w:t>
      </w:r>
      <w:r>
        <w:rPr>
          <w:rFonts w:eastAsia="仿宋_GB2312"/>
          <w:color w:val="auto"/>
          <w:sz w:val="32"/>
          <w:szCs w:val="32"/>
        </w:rPr>
        <w:t>企业资产负债率一般应低于60%，年内新建项目总额超过固定资产额度10%的，资产负债率最高不超过70%；企业在与金融机构以及小额贷款公司等其他合法放贷组织业务往来中，近</w:t>
      </w:r>
      <w:r>
        <w:rPr>
          <w:rFonts w:hint="eastAsia" w:eastAsia="仿宋_GB2312"/>
          <w:color w:val="auto"/>
          <w:sz w:val="32"/>
          <w:szCs w:val="32"/>
          <w:lang w:val="en-US" w:eastAsia="zh-CN"/>
        </w:rPr>
        <w:t>2</w:t>
      </w:r>
      <w:r>
        <w:rPr>
          <w:rFonts w:eastAsia="仿宋_GB2312"/>
          <w:color w:val="auto"/>
          <w:sz w:val="32"/>
          <w:szCs w:val="32"/>
        </w:rPr>
        <w:t>年内无不良信用记录。</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snapToGrid w:val="0"/>
          <w:color w:val="auto"/>
          <w:kern w:val="0"/>
          <w:sz w:val="32"/>
          <w:szCs w:val="32"/>
        </w:rPr>
      </w:pPr>
      <w:r>
        <w:rPr>
          <w:rFonts w:eastAsia="楷体_GB2312"/>
          <w:snapToGrid w:val="0"/>
          <w:color w:val="auto"/>
          <w:kern w:val="0"/>
          <w:sz w:val="32"/>
          <w:szCs w:val="32"/>
        </w:rPr>
        <w:t>（六）企业带动能力。</w:t>
      </w:r>
      <w:r>
        <w:rPr>
          <w:rFonts w:eastAsia="仿宋_GB2312"/>
          <w:snapToGrid w:val="0"/>
          <w:color w:val="auto"/>
          <w:kern w:val="0"/>
          <w:sz w:val="32"/>
          <w:szCs w:val="32"/>
        </w:rPr>
        <w:t>鼓励企业通过农民专业合作社、家庭农场等新型经营主体直接带动农户。通过建立合同、合作、股份合作等利益联结方式带动农户数不应低于</w:t>
      </w:r>
      <w:r>
        <w:rPr>
          <w:rFonts w:hint="eastAsia" w:eastAsia="仿宋_GB2312"/>
          <w:snapToGrid w:val="0"/>
          <w:color w:val="auto"/>
          <w:kern w:val="0"/>
          <w:sz w:val="32"/>
          <w:szCs w:val="32"/>
          <w:lang w:val="en-US" w:eastAsia="zh-CN"/>
        </w:rPr>
        <w:t>200</w:t>
      </w:r>
      <w:r>
        <w:rPr>
          <w:rFonts w:eastAsia="仿宋_GB2312"/>
          <w:snapToGrid w:val="0"/>
          <w:color w:val="auto"/>
          <w:kern w:val="0"/>
          <w:sz w:val="32"/>
          <w:szCs w:val="32"/>
        </w:rPr>
        <w:t>户（农产品专业批发市场类除外）。</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textAlignment w:val="auto"/>
        <w:rPr>
          <w:rFonts w:eastAsia="仿宋_GB2312"/>
          <w:color w:val="auto"/>
          <w:kern w:val="0"/>
          <w:sz w:val="32"/>
          <w:szCs w:val="32"/>
        </w:rPr>
      </w:pPr>
      <w:r>
        <w:rPr>
          <w:rFonts w:eastAsia="楷体_GB2312"/>
          <w:snapToGrid w:val="0"/>
          <w:color w:val="auto"/>
          <w:kern w:val="0"/>
          <w:sz w:val="32"/>
          <w:szCs w:val="32"/>
        </w:rPr>
        <w:t>（七）企业产品竞争力。</w:t>
      </w:r>
      <w:r>
        <w:rPr>
          <w:rFonts w:eastAsia="仿宋_GB2312"/>
          <w:color w:val="auto"/>
          <w:kern w:val="0"/>
          <w:sz w:val="32"/>
          <w:szCs w:val="32"/>
        </w:rPr>
        <w:t>企业有注册商标和品牌，产品符合国家产业政策、环保政策和绿色发展要求，并获得</w:t>
      </w:r>
      <w:r>
        <w:rPr>
          <w:rFonts w:eastAsia="仿宋_GB2312"/>
          <w:color w:val="auto"/>
          <w:spacing w:val="-6"/>
          <w:kern w:val="0"/>
          <w:sz w:val="32"/>
          <w:szCs w:val="32"/>
        </w:rPr>
        <w:t>相关质量管理标准体系认证，近</w:t>
      </w:r>
      <w:r>
        <w:rPr>
          <w:rFonts w:hint="eastAsia" w:eastAsia="仿宋_GB2312"/>
          <w:color w:val="auto"/>
          <w:spacing w:val="-6"/>
          <w:kern w:val="0"/>
          <w:sz w:val="32"/>
          <w:szCs w:val="32"/>
          <w:lang w:val="en-US" w:eastAsia="zh-CN"/>
        </w:rPr>
        <w:t>2</w:t>
      </w:r>
      <w:r>
        <w:rPr>
          <w:rFonts w:eastAsia="仿宋_GB2312"/>
          <w:color w:val="auto"/>
          <w:spacing w:val="-6"/>
          <w:kern w:val="0"/>
          <w:sz w:val="32"/>
          <w:szCs w:val="32"/>
        </w:rPr>
        <w:t>年内没有发生产品质量安全事件。</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snapToGrid w:val="0"/>
          <w:color w:val="auto"/>
          <w:kern w:val="0"/>
          <w:sz w:val="32"/>
          <w:szCs w:val="32"/>
        </w:rPr>
      </w:pPr>
      <w:r>
        <w:rPr>
          <w:rFonts w:eastAsia="楷体_GB2312"/>
          <w:snapToGrid w:val="0"/>
          <w:color w:val="auto"/>
          <w:kern w:val="0"/>
          <w:sz w:val="32"/>
          <w:szCs w:val="32"/>
        </w:rPr>
        <w:t>（八）企业申报资质。</w:t>
      </w:r>
      <w:r>
        <w:rPr>
          <w:rFonts w:eastAsia="仿宋_GB2312"/>
          <w:snapToGrid w:val="0"/>
          <w:color w:val="auto"/>
          <w:kern w:val="0"/>
          <w:sz w:val="32"/>
          <w:szCs w:val="32"/>
        </w:rPr>
        <w:t>申报企业</w:t>
      </w:r>
      <w:r>
        <w:rPr>
          <w:rFonts w:hint="eastAsia" w:eastAsia="仿宋_GB2312"/>
          <w:snapToGrid w:val="0"/>
          <w:color w:val="auto"/>
          <w:kern w:val="0"/>
          <w:sz w:val="32"/>
          <w:szCs w:val="32"/>
          <w:lang w:eastAsia="zh-CN"/>
        </w:rPr>
        <w:t>是钦州市辖区内符合申报条件和申报标准的涉农企业</w:t>
      </w:r>
      <w:r>
        <w:rPr>
          <w:rFonts w:eastAsia="仿宋_GB2312"/>
          <w:snapToGrid w:val="0"/>
          <w:color w:val="auto"/>
          <w:kern w:val="0"/>
          <w:sz w:val="32"/>
          <w:szCs w:val="32"/>
        </w:rPr>
        <w:t>。</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kern w:val="0"/>
          <w:sz w:val="32"/>
          <w:szCs w:val="32"/>
        </w:rPr>
      </w:pPr>
      <w:r>
        <w:rPr>
          <w:rFonts w:eastAsia="黑体"/>
          <w:color w:val="auto"/>
          <w:sz w:val="32"/>
          <w:szCs w:val="32"/>
        </w:rPr>
        <w:t xml:space="preserve">第六条  </w:t>
      </w:r>
      <w:r>
        <w:rPr>
          <w:rFonts w:eastAsia="仿宋_GB2312"/>
          <w:color w:val="auto"/>
          <w:kern w:val="0"/>
          <w:sz w:val="32"/>
          <w:szCs w:val="32"/>
        </w:rPr>
        <w:t>企业牵头带动农民合作社、家庭农场等新型农业经营主体，以分工协作为前提，以规模经营为依托，以利益联结为纽带，形成农业产业化联合体的予以优先认定。</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黑体"/>
          <w:color w:val="auto"/>
          <w:sz w:val="32"/>
          <w:szCs w:val="32"/>
        </w:rPr>
      </w:pPr>
      <w:r>
        <w:rPr>
          <w:rFonts w:eastAsia="黑体"/>
          <w:color w:val="auto"/>
          <w:sz w:val="32"/>
          <w:szCs w:val="32"/>
        </w:rPr>
        <w:t xml:space="preserve">第七条  </w:t>
      </w:r>
      <w:r>
        <w:rPr>
          <w:rFonts w:eastAsia="仿宋_GB2312"/>
          <w:color w:val="auto"/>
          <w:sz w:val="32"/>
          <w:szCs w:val="32"/>
        </w:rPr>
        <w:t>食用农产品通过绿色食品认证、有机食品认证、农产品地理标志认证的企业</w:t>
      </w:r>
      <w:r>
        <w:rPr>
          <w:rFonts w:eastAsia="仿宋_GB2312"/>
          <w:color w:val="auto"/>
          <w:kern w:val="0"/>
          <w:sz w:val="32"/>
          <w:szCs w:val="32"/>
        </w:rPr>
        <w:t>予以优先认定。</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黑体"/>
          <w:color w:val="auto"/>
          <w:sz w:val="32"/>
          <w:szCs w:val="32"/>
        </w:rPr>
      </w:pPr>
      <w:r>
        <w:rPr>
          <w:rFonts w:eastAsia="黑体"/>
          <w:color w:val="auto"/>
          <w:sz w:val="32"/>
          <w:szCs w:val="32"/>
        </w:rPr>
        <w:t xml:space="preserve">第八条  </w:t>
      </w:r>
      <w:r>
        <w:rPr>
          <w:rFonts w:eastAsia="仿宋_GB2312"/>
          <w:color w:val="auto"/>
          <w:sz w:val="32"/>
          <w:szCs w:val="32"/>
        </w:rPr>
        <w:t>申报企业应提供以下材料：</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kern w:val="0"/>
          <w:sz w:val="32"/>
          <w:szCs w:val="32"/>
        </w:rPr>
      </w:pPr>
      <w:r>
        <w:rPr>
          <w:rFonts w:eastAsia="仿宋_GB2312"/>
          <w:color w:val="auto"/>
          <w:kern w:val="0"/>
          <w:sz w:val="32"/>
          <w:szCs w:val="32"/>
        </w:rPr>
        <w:t>（一）营业执照和相关认证材料复印件。</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kern w:val="0"/>
          <w:sz w:val="32"/>
          <w:szCs w:val="32"/>
        </w:rPr>
      </w:pPr>
      <w:r>
        <w:rPr>
          <w:rFonts w:eastAsia="仿宋_GB2312"/>
          <w:color w:val="auto"/>
          <w:sz w:val="32"/>
          <w:szCs w:val="32"/>
        </w:rPr>
        <w:t>（二）</w:t>
      </w:r>
      <w:r>
        <w:rPr>
          <w:rFonts w:eastAsia="仿宋_GB2312"/>
          <w:color w:val="auto"/>
          <w:kern w:val="0"/>
          <w:sz w:val="32"/>
          <w:szCs w:val="32"/>
        </w:rPr>
        <w:t>有资质的会计师事务所审定的企业上一年度审计报告</w:t>
      </w:r>
      <w:r>
        <w:rPr>
          <w:rFonts w:eastAsia="仿宋_GB2312"/>
          <w:color w:val="auto"/>
          <w:sz w:val="32"/>
          <w:szCs w:val="32"/>
        </w:rPr>
        <w:t>复印件。</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（三）中国人民银行征信中心自主查询版《企业信用报告》。</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（四）县级以上农业农村局或</w:t>
      </w:r>
      <w:r>
        <w:rPr>
          <w:rFonts w:eastAsia="仿宋_GB2312"/>
          <w:snapToGrid w:val="0"/>
          <w:color w:val="auto"/>
          <w:kern w:val="0"/>
          <w:sz w:val="32"/>
          <w:szCs w:val="32"/>
        </w:rPr>
        <w:t>行业主管部门</w:t>
      </w:r>
      <w:r>
        <w:rPr>
          <w:rFonts w:eastAsia="仿宋_GB2312"/>
          <w:color w:val="auto"/>
          <w:sz w:val="32"/>
          <w:szCs w:val="32"/>
        </w:rPr>
        <w:t>出具的企业</w:t>
      </w:r>
      <w:r>
        <w:rPr>
          <w:rFonts w:eastAsia="仿宋_GB2312"/>
          <w:color w:val="auto"/>
          <w:sz w:val="32"/>
        </w:rPr>
        <w:t>上一年度</w:t>
      </w:r>
      <w:r>
        <w:rPr>
          <w:rFonts w:eastAsia="仿宋_GB2312"/>
          <w:color w:val="auto"/>
          <w:sz w:val="32"/>
          <w:szCs w:val="32"/>
        </w:rPr>
        <w:t>带动农户情况证明。证明应说明</w:t>
      </w:r>
      <w:r>
        <w:rPr>
          <w:rFonts w:eastAsia="仿宋_GB2312"/>
          <w:color w:val="auto"/>
          <w:sz w:val="32"/>
        </w:rPr>
        <w:t>企业带动农户的利益联结方式、带动农户数等情况</w:t>
      </w:r>
      <w:r>
        <w:rPr>
          <w:rFonts w:eastAsia="仿宋_GB2312"/>
          <w:color w:val="auto"/>
          <w:sz w:val="32"/>
          <w:szCs w:val="32"/>
        </w:rPr>
        <w:t>。</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rPr>
      </w:pPr>
      <w:r>
        <w:rPr>
          <w:rFonts w:eastAsia="仿宋_GB2312"/>
          <w:color w:val="auto"/>
          <w:sz w:val="32"/>
          <w:szCs w:val="32"/>
        </w:rPr>
        <w:t>（五）县级以上农业农村局或其他法定监管部门出具的</w:t>
      </w:r>
      <w:r>
        <w:rPr>
          <w:rFonts w:eastAsia="仿宋_GB2312"/>
          <w:color w:val="auto"/>
          <w:kern w:val="0"/>
          <w:sz w:val="32"/>
          <w:szCs w:val="32"/>
        </w:rPr>
        <w:t>企业近</w:t>
      </w:r>
      <w:r>
        <w:rPr>
          <w:rFonts w:hint="eastAsia" w:eastAsia="仿宋_GB2312"/>
          <w:color w:val="auto"/>
          <w:kern w:val="0"/>
          <w:sz w:val="32"/>
          <w:szCs w:val="32"/>
          <w:lang w:val="en-US" w:eastAsia="zh-CN"/>
        </w:rPr>
        <w:t>2</w:t>
      </w:r>
      <w:r>
        <w:rPr>
          <w:rFonts w:eastAsia="仿宋_GB2312"/>
          <w:color w:val="auto"/>
          <w:kern w:val="0"/>
          <w:sz w:val="32"/>
          <w:szCs w:val="32"/>
        </w:rPr>
        <w:t>年内</w:t>
      </w:r>
      <w:r>
        <w:rPr>
          <w:rFonts w:eastAsia="仿宋_GB2312"/>
          <w:color w:val="auto"/>
          <w:sz w:val="32"/>
          <w:szCs w:val="32"/>
        </w:rPr>
        <w:t>产品质量安全情况证明</w:t>
      </w:r>
      <w:r>
        <w:rPr>
          <w:rFonts w:eastAsia="仿宋_GB2312"/>
          <w:color w:val="auto"/>
          <w:sz w:val="32"/>
        </w:rPr>
        <w:t>。</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textAlignment w:val="auto"/>
        <w:rPr>
          <w:rFonts w:eastAsia="仿宋_GB2312"/>
          <w:color w:val="auto"/>
          <w:kern w:val="0"/>
          <w:sz w:val="32"/>
          <w:szCs w:val="32"/>
        </w:rPr>
      </w:pPr>
      <w:r>
        <w:rPr>
          <w:rFonts w:eastAsia="仿宋_GB2312"/>
          <w:color w:val="auto"/>
          <w:sz w:val="32"/>
          <w:szCs w:val="32"/>
        </w:rPr>
        <w:t>（六）</w:t>
      </w:r>
      <w:r>
        <w:rPr>
          <w:rFonts w:eastAsia="仿宋_GB2312"/>
          <w:color w:val="auto"/>
          <w:kern w:val="0"/>
          <w:sz w:val="32"/>
          <w:szCs w:val="32"/>
        </w:rPr>
        <w:t>县级以上农业农村局</w:t>
      </w:r>
      <w:r>
        <w:rPr>
          <w:rFonts w:eastAsia="仿宋_GB2312"/>
          <w:color w:val="auto"/>
          <w:sz w:val="32"/>
          <w:szCs w:val="32"/>
        </w:rPr>
        <w:t>或</w:t>
      </w:r>
      <w:r>
        <w:rPr>
          <w:rFonts w:eastAsia="仿宋_GB2312"/>
          <w:snapToGrid w:val="0"/>
          <w:color w:val="auto"/>
          <w:kern w:val="0"/>
          <w:sz w:val="32"/>
          <w:szCs w:val="32"/>
        </w:rPr>
        <w:t>行业主管部门</w:t>
      </w:r>
      <w:r>
        <w:rPr>
          <w:rFonts w:eastAsia="仿宋_GB2312"/>
          <w:color w:val="auto"/>
          <w:kern w:val="0"/>
          <w:sz w:val="32"/>
          <w:szCs w:val="32"/>
        </w:rPr>
        <w:t>出具的企业牵头成立联合体的相关证明材料</w:t>
      </w:r>
      <w:r>
        <w:rPr>
          <w:rFonts w:eastAsia="仿宋_GB2312"/>
          <w:color w:val="auto"/>
          <w:sz w:val="32"/>
          <w:szCs w:val="32"/>
        </w:rPr>
        <w:t>。</w:t>
      </w:r>
    </w:p>
    <w:p>
      <w:pPr>
        <w:keepNext w:val="0"/>
        <w:keepLines w:val="0"/>
        <w:pageBreakBefore w:val="0"/>
        <w:kinsoku/>
        <w:wordWrap/>
        <w:overflowPunct/>
        <w:topLinePunct w:val="0"/>
        <w:autoSpaceDE w:val="0"/>
        <w:autoSpaceDN w:val="0"/>
        <w:bidi w:val="0"/>
        <w:adjustRightInd/>
        <w:snapToGrid/>
        <w:spacing w:line="560" w:lineRule="exact"/>
        <w:ind w:firstLine="616" w:firstLineChars="200"/>
        <w:textAlignment w:val="auto"/>
        <w:rPr>
          <w:rFonts w:eastAsia="仿宋_GB2312"/>
          <w:color w:val="auto"/>
          <w:spacing w:val="-6"/>
          <w:sz w:val="32"/>
          <w:szCs w:val="32"/>
        </w:rPr>
      </w:pPr>
      <w:r>
        <w:rPr>
          <w:rFonts w:eastAsia="仿宋_GB2312"/>
          <w:color w:val="auto"/>
          <w:spacing w:val="-6"/>
          <w:sz w:val="32"/>
          <w:szCs w:val="32"/>
        </w:rPr>
        <w:t>（七）</w:t>
      </w:r>
      <w:r>
        <w:rPr>
          <w:rFonts w:eastAsia="仿宋_GB2312"/>
          <w:color w:val="auto"/>
          <w:kern w:val="0"/>
          <w:sz w:val="32"/>
          <w:szCs w:val="32"/>
        </w:rPr>
        <w:t>县级以上</w:t>
      </w:r>
      <w:r>
        <w:rPr>
          <w:rFonts w:eastAsia="仿宋_GB2312"/>
          <w:color w:val="auto"/>
          <w:spacing w:val="-6"/>
          <w:sz w:val="32"/>
          <w:szCs w:val="32"/>
        </w:rPr>
        <w:t>税务部门出具的企业近</w:t>
      </w:r>
      <w:r>
        <w:rPr>
          <w:rFonts w:hint="eastAsia" w:eastAsia="仿宋_GB2312"/>
          <w:color w:val="auto"/>
          <w:spacing w:val="-6"/>
          <w:sz w:val="32"/>
          <w:szCs w:val="32"/>
          <w:lang w:val="en-US" w:eastAsia="zh-CN"/>
        </w:rPr>
        <w:t>2</w:t>
      </w:r>
      <w:r>
        <w:rPr>
          <w:rFonts w:eastAsia="仿宋_GB2312"/>
          <w:color w:val="auto"/>
          <w:spacing w:val="-6"/>
          <w:sz w:val="32"/>
          <w:szCs w:val="32"/>
        </w:rPr>
        <w:t>年内纳税情况证明。</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pacing w:val="-6"/>
          <w:sz w:val="32"/>
          <w:szCs w:val="32"/>
        </w:rPr>
      </w:pPr>
      <w:r>
        <w:rPr>
          <w:rFonts w:eastAsia="仿宋_GB2312"/>
          <w:color w:val="auto"/>
          <w:sz w:val="32"/>
          <w:szCs w:val="32"/>
        </w:rPr>
        <w:t>（八）</w:t>
      </w:r>
      <w:r>
        <w:rPr>
          <w:rFonts w:eastAsia="仿宋_GB2312"/>
          <w:color w:val="auto"/>
          <w:kern w:val="0"/>
          <w:sz w:val="32"/>
          <w:szCs w:val="32"/>
        </w:rPr>
        <w:t>加工和养殖类企业《</w:t>
      </w:r>
      <w:r>
        <w:rPr>
          <w:rFonts w:eastAsia="仿宋_GB2312"/>
          <w:color w:val="auto"/>
          <w:sz w:val="32"/>
          <w:szCs w:val="32"/>
        </w:rPr>
        <w:t>排放污染物许可证</w:t>
      </w:r>
      <w:r>
        <w:rPr>
          <w:rFonts w:eastAsia="仿宋_GB2312"/>
          <w:color w:val="auto"/>
          <w:kern w:val="0"/>
          <w:sz w:val="32"/>
          <w:szCs w:val="32"/>
        </w:rPr>
        <w:t>》或县级以上生态环境部门出具的</w:t>
      </w:r>
      <w:r>
        <w:rPr>
          <w:rFonts w:eastAsia="仿宋_GB2312"/>
          <w:color w:val="auto"/>
          <w:spacing w:val="-6"/>
          <w:sz w:val="32"/>
          <w:szCs w:val="32"/>
        </w:rPr>
        <w:t>企业近</w:t>
      </w:r>
      <w:r>
        <w:rPr>
          <w:rFonts w:hint="eastAsia" w:eastAsia="仿宋_GB2312"/>
          <w:color w:val="auto"/>
          <w:spacing w:val="-6"/>
          <w:sz w:val="32"/>
          <w:szCs w:val="32"/>
          <w:lang w:val="en-US" w:eastAsia="zh-CN"/>
        </w:rPr>
        <w:t>2</w:t>
      </w:r>
      <w:r>
        <w:rPr>
          <w:rFonts w:eastAsia="仿宋_GB2312"/>
          <w:color w:val="auto"/>
          <w:spacing w:val="-6"/>
          <w:sz w:val="32"/>
          <w:szCs w:val="32"/>
        </w:rPr>
        <w:t>年内环保情况证明。</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textAlignment w:val="auto"/>
        <w:rPr>
          <w:rFonts w:eastAsia="仿宋_GB2312"/>
          <w:color w:val="auto"/>
          <w:spacing w:val="-6"/>
          <w:sz w:val="32"/>
          <w:szCs w:val="32"/>
        </w:rPr>
      </w:pPr>
      <w:r>
        <w:rPr>
          <w:rFonts w:eastAsia="仿宋_GB2312"/>
          <w:color w:val="auto"/>
          <w:sz w:val="32"/>
          <w:szCs w:val="32"/>
        </w:rPr>
        <w:t>（九）</w:t>
      </w:r>
      <w:r>
        <w:rPr>
          <w:rFonts w:eastAsia="仿宋_GB2312"/>
          <w:color w:val="auto"/>
          <w:spacing w:val="-6"/>
          <w:sz w:val="32"/>
          <w:szCs w:val="32"/>
        </w:rPr>
        <w:t>企业近</w:t>
      </w:r>
      <w:r>
        <w:rPr>
          <w:rFonts w:hint="eastAsia" w:eastAsia="仿宋_GB2312"/>
          <w:color w:val="auto"/>
          <w:spacing w:val="-6"/>
          <w:sz w:val="32"/>
          <w:szCs w:val="32"/>
          <w:lang w:val="en-US" w:eastAsia="zh-CN"/>
        </w:rPr>
        <w:t>2</w:t>
      </w:r>
      <w:r>
        <w:rPr>
          <w:rFonts w:eastAsia="仿宋_GB2312"/>
          <w:color w:val="auto"/>
          <w:spacing w:val="-6"/>
          <w:sz w:val="32"/>
          <w:szCs w:val="32"/>
        </w:rPr>
        <w:t>年内社会保险参保缴费证明。</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（十）企业近</w:t>
      </w:r>
      <w:r>
        <w:rPr>
          <w:rFonts w:hint="eastAsia" w:eastAsia="仿宋_GB2312"/>
          <w:color w:val="auto"/>
          <w:sz w:val="32"/>
          <w:szCs w:val="32"/>
          <w:lang w:val="en-US" w:eastAsia="zh-CN"/>
        </w:rPr>
        <w:t>2</w:t>
      </w:r>
      <w:r>
        <w:rPr>
          <w:rFonts w:eastAsia="仿宋_GB2312"/>
          <w:color w:val="auto"/>
          <w:sz w:val="32"/>
          <w:szCs w:val="32"/>
        </w:rPr>
        <w:t>年生产经营情况材料（字数2000以内）。主要包括企业经济运行、原料生产基地建设、带动乡村产业发展、企业与新型经营主体及农户的利益联结方式、带动农民就业增收、为农户提供农业生产经营服务等情况。</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黑体"/>
          <w:color w:val="auto"/>
          <w:sz w:val="32"/>
          <w:szCs w:val="32"/>
        </w:rPr>
      </w:pPr>
      <w:r>
        <w:rPr>
          <w:rFonts w:eastAsia="黑体"/>
          <w:color w:val="auto"/>
          <w:sz w:val="32"/>
          <w:szCs w:val="32"/>
        </w:rPr>
        <w:t xml:space="preserve">第九条  </w:t>
      </w:r>
      <w:r>
        <w:rPr>
          <w:rFonts w:eastAsia="仿宋_GB2312"/>
          <w:color w:val="auto"/>
          <w:sz w:val="32"/>
          <w:szCs w:val="32"/>
        </w:rPr>
        <w:t>申报程序：</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eastAsia="zh-CN"/>
        </w:rPr>
        <w:t>（一）企业向所在地县（区）农业农村局提出申请。</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eastAsia="zh-CN"/>
        </w:rPr>
        <w:t>（二）县（区）农业农村局组织农业产业化联席会议成员单位对申报企业材料进行审核，审核同意后向钦州市农业农村局推荐。</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eastAsia="zh-CN"/>
        </w:rPr>
        <w:t>（三）自贸区钦州港片区</w:t>
      </w:r>
      <w:r>
        <w:rPr>
          <w:rFonts w:hint="eastAsia" w:eastAsia="仿宋_GB2312"/>
          <w:color w:val="auto"/>
          <w:sz w:val="32"/>
          <w:szCs w:val="32"/>
          <w:lang w:val="en-US" w:eastAsia="zh-CN"/>
        </w:rPr>
        <w:t>涉农企业，向</w:t>
      </w:r>
      <w:r>
        <w:rPr>
          <w:rFonts w:hint="eastAsia" w:eastAsia="仿宋_GB2312"/>
          <w:color w:val="auto"/>
          <w:sz w:val="32"/>
          <w:szCs w:val="32"/>
          <w:lang w:eastAsia="zh-CN"/>
        </w:rPr>
        <w:t>自贸区</w:t>
      </w:r>
      <w:r>
        <w:rPr>
          <w:rFonts w:hint="eastAsia" w:eastAsia="仿宋_GB2312"/>
          <w:color w:val="auto"/>
          <w:sz w:val="32"/>
          <w:szCs w:val="32"/>
          <w:lang w:val="en-US" w:eastAsia="zh-CN"/>
        </w:rPr>
        <w:t>钦州港片区</w:t>
      </w:r>
      <w:r>
        <w:rPr>
          <w:rFonts w:hint="eastAsia" w:eastAsia="仿宋_GB2312"/>
          <w:color w:val="auto"/>
          <w:sz w:val="32"/>
          <w:szCs w:val="32"/>
          <w:lang w:eastAsia="zh-CN"/>
        </w:rPr>
        <w:t>社会事务局提出申请，</w:t>
      </w:r>
      <w:r>
        <w:rPr>
          <w:rFonts w:hint="eastAsia" w:eastAsia="仿宋_GB2312"/>
          <w:color w:val="auto"/>
          <w:sz w:val="32"/>
          <w:szCs w:val="32"/>
          <w:lang w:val="en-US" w:eastAsia="zh-CN"/>
        </w:rPr>
        <w:t>审核同意后</w:t>
      </w:r>
      <w:r>
        <w:rPr>
          <w:rFonts w:hint="eastAsia" w:eastAsia="仿宋_GB2312"/>
          <w:color w:val="auto"/>
          <w:sz w:val="32"/>
          <w:szCs w:val="32"/>
          <w:lang w:eastAsia="zh-CN"/>
        </w:rPr>
        <w:t>向钦州市农业农村局推荐。</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default" w:eastAsia="仿宋_GB2312"/>
          <w:color w:val="auto"/>
          <w:sz w:val="32"/>
          <w:szCs w:val="32"/>
          <w:u w:val="single"/>
          <w:lang w:val="en-US"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四</w:t>
      </w:r>
      <w:r>
        <w:rPr>
          <w:rFonts w:hint="eastAsia" w:eastAsia="仿宋_GB2312"/>
          <w:color w:val="auto"/>
          <w:sz w:val="32"/>
          <w:szCs w:val="32"/>
          <w:lang w:eastAsia="zh-CN"/>
        </w:rPr>
        <w:t>）</w:t>
      </w:r>
      <w:r>
        <w:rPr>
          <w:rFonts w:hint="eastAsia" w:eastAsia="仿宋_GB2312"/>
          <w:color w:val="auto"/>
          <w:sz w:val="32"/>
          <w:szCs w:val="32"/>
          <w:lang w:val="en-US" w:eastAsia="zh-CN"/>
        </w:rPr>
        <w:t>没有设立农业农村主管部门的其它管理区的涉农企业，可以直接向当地管委</w:t>
      </w:r>
      <w:r>
        <w:rPr>
          <w:rFonts w:eastAsia="仿宋_GB2312"/>
          <w:color w:val="auto"/>
          <w:sz w:val="32"/>
          <w:szCs w:val="32"/>
        </w:rPr>
        <w:t>或</w:t>
      </w:r>
      <w:r>
        <w:rPr>
          <w:rFonts w:eastAsia="仿宋_GB2312"/>
          <w:snapToGrid w:val="0"/>
          <w:color w:val="auto"/>
          <w:kern w:val="0"/>
          <w:sz w:val="32"/>
          <w:szCs w:val="32"/>
        </w:rPr>
        <w:t>行业主管部门</w:t>
      </w:r>
      <w:r>
        <w:rPr>
          <w:rFonts w:hint="eastAsia" w:eastAsia="仿宋_GB2312"/>
          <w:color w:val="auto"/>
          <w:sz w:val="32"/>
          <w:szCs w:val="32"/>
          <w:lang w:val="en-US" w:eastAsia="zh-CN"/>
        </w:rPr>
        <w:t>提出申请，审核同意后</w:t>
      </w:r>
      <w:r>
        <w:rPr>
          <w:rFonts w:hint="eastAsia" w:eastAsia="仿宋_GB2312"/>
          <w:color w:val="auto"/>
          <w:sz w:val="32"/>
          <w:szCs w:val="32"/>
          <w:lang w:eastAsia="zh-CN"/>
        </w:rPr>
        <w:t>向钦州市农业农村局推荐。</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eastAsia="仿宋_GB2312"/>
          <w:color w:val="auto"/>
          <w:sz w:val="32"/>
          <w:szCs w:val="32"/>
          <w:lang w:eastAsia="zh-CN"/>
        </w:rPr>
      </w:pPr>
      <w:r>
        <w:rPr>
          <w:rFonts w:eastAsia="黑体"/>
          <w:color w:val="auto"/>
          <w:sz w:val="32"/>
          <w:szCs w:val="32"/>
        </w:rPr>
        <w:t xml:space="preserve">第十条  </w:t>
      </w:r>
      <w:r>
        <w:rPr>
          <w:rFonts w:hint="eastAsia" w:ascii="仿宋_GB2312" w:hAnsi="仿宋_GB2312" w:eastAsia="仿宋_GB2312" w:cs="仿宋_GB2312"/>
          <w:color w:val="auto"/>
          <w:sz w:val="32"/>
          <w:szCs w:val="32"/>
          <w:lang w:eastAsia="zh-CN"/>
        </w:rPr>
        <w:t>钦州市</w:t>
      </w:r>
      <w:r>
        <w:rPr>
          <w:rFonts w:eastAsia="仿宋_GB2312"/>
          <w:color w:val="auto"/>
          <w:sz w:val="32"/>
          <w:szCs w:val="32"/>
        </w:rPr>
        <w:t>直属部门企业直接向直属部门申报，经</w:t>
      </w:r>
      <w:r>
        <w:rPr>
          <w:rFonts w:hint="eastAsia" w:eastAsia="仿宋_GB2312"/>
          <w:color w:val="auto"/>
          <w:sz w:val="32"/>
          <w:szCs w:val="32"/>
          <w:lang w:eastAsia="zh-CN"/>
        </w:rPr>
        <w:t>钦州市</w:t>
      </w:r>
      <w:r>
        <w:rPr>
          <w:rFonts w:eastAsia="仿宋_GB2312"/>
          <w:color w:val="auto"/>
          <w:sz w:val="32"/>
          <w:szCs w:val="32"/>
        </w:rPr>
        <w:t>直属部门审核，并行文向</w:t>
      </w:r>
      <w:r>
        <w:rPr>
          <w:rFonts w:hint="eastAsia" w:eastAsia="仿宋_GB2312"/>
          <w:color w:val="auto"/>
          <w:sz w:val="32"/>
          <w:szCs w:val="32"/>
          <w:lang w:eastAsia="zh-CN"/>
        </w:rPr>
        <w:t>钦州市</w:t>
      </w:r>
      <w:r>
        <w:rPr>
          <w:rFonts w:eastAsia="仿宋_GB2312"/>
          <w:color w:val="auto"/>
          <w:sz w:val="32"/>
          <w:szCs w:val="32"/>
        </w:rPr>
        <w:t>农业农村</w:t>
      </w:r>
      <w:r>
        <w:rPr>
          <w:rFonts w:hint="eastAsia" w:eastAsia="仿宋_GB2312"/>
          <w:color w:val="auto"/>
          <w:sz w:val="32"/>
          <w:szCs w:val="32"/>
          <w:lang w:eastAsia="zh-CN"/>
        </w:rPr>
        <w:t>局</w:t>
      </w:r>
      <w:r>
        <w:rPr>
          <w:rFonts w:eastAsia="仿宋_GB2312"/>
          <w:color w:val="auto"/>
          <w:sz w:val="32"/>
          <w:szCs w:val="32"/>
        </w:rPr>
        <w:t>推荐。</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eastAsia="黑体"/>
          <w:color w:val="auto"/>
          <w:sz w:val="32"/>
          <w:szCs w:val="32"/>
        </w:rPr>
      </w:pPr>
      <w:r>
        <w:rPr>
          <w:rFonts w:eastAsia="黑体"/>
          <w:color w:val="auto"/>
          <w:sz w:val="32"/>
          <w:szCs w:val="32"/>
        </w:rPr>
        <w:t>第三章  认 定</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textAlignment w:val="auto"/>
        <w:rPr>
          <w:rFonts w:eastAsia="黑体"/>
          <w:color w:val="auto"/>
          <w:sz w:val="32"/>
          <w:szCs w:val="32"/>
        </w:rPr>
      </w:pPr>
      <w:r>
        <w:rPr>
          <w:rFonts w:eastAsia="黑体"/>
          <w:color w:val="auto"/>
          <w:sz w:val="32"/>
          <w:szCs w:val="32"/>
        </w:rPr>
        <w:t xml:space="preserve">第十一条  </w:t>
      </w:r>
      <w:r>
        <w:rPr>
          <w:rFonts w:eastAsia="仿宋_GB2312"/>
          <w:color w:val="auto"/>
          <w:sz w:val="32"/>
          <w:szCs w:val="32"/>
        </w:rPr>
        <w:t>龙头企业认定和运行监测工作由</w:t>
      </w:r>
      <w:r>
        <w:rPr>
          <w:rFonts w:hint="eastAsia" w:eastAsia="仿宋_GB2312"/>
          <w:color w:val="auto"/>
          <w:sz w:val="32"/>
          <w:szCs w:val="32"/>
          <w:lang w:eastAsia="zh-CN"/>
        </w:rPr>
        <w:t>钦州市</w:t>
      </w:r>
      <w:r>
        <w:rPr>
          <w:rFonts w:eastAsia="仿宋_GB2312"/>
          <w:color w:val="auto"/>
          <w:sz w:val="32"/>
          <w:szCs w:val="32"/>
        </w:rPr>
        <w:t>农业产业化联席会议办公室负责开展。</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textAlignment w:val="auto"/>
        <w:rPr>
          <w:rFonts w:eastAsia="仿宋_GB2312"/>
          <w:color w:val="auto"/>
          <w:spacing w:val="-6"/>
          <w:kern w:val="0"/>
          <w:sz w:val="32"/>
          <w:szCs w:val="32"/>
        </w:rPr>
      </w:pPr>
      <w:r>
        <w:rPr>
          <w:rFonts w:eastAsia="黑体"/>
          <w:color w:val="auto"/>
          <w:sz w:val="32"/>
          <w:szCs w:val="32"/>
        </w:rPr>
        <w:t xml:space="preserve">第十二条 </w:t>
      </w:r>
      <w:r>
        <w:rPr>
          <w:rFonts w:eastAsia="黑体"/>
          <w:color w:val="auto"/>
          <w:spacing w:val="-6"/>
          <w:sz w:val="32"/>
          <w:szCs w:val="32"/>
        </w:rPr>
        <w:t xml:space="preserve"> </w:t>
      </w:r>
      <w:r>
        <w:rPr>
          <w:rFonts w:eastAsia="仿宋_GB2312"/>
          <w:color w:val="auto"/>
          <w:sz w:val="32"/>
          <w:szCs w:val="32"/>
        </w:rPr>
        <w:t>龙头企业</w:t>
      </w:r>
      <w:r>
        <w:rPr>
          <w:rFonts w:eastAsia="仿宋_GB2312"/>
          <w:color w:val="auto"/>
          <w:spacing w:val="-6"/>
          <w:sz w:val="32"/>
          <w:szCs w:val="32"/>
        </w:rPr>
        <w:t>认定程序和办法：</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（一）</w:t>
      </w:r>
      <w:r>
        <w:rPr>
          <w:rFonts w:hint="eastAsia" w:eastAsia="仿宋_GB2312"/>
          <w:color w:val="auto"/>
          <w:sz w:val="32"/>
          <w:szCs w:val="32"/>
          <w:lang w:eastAsia="zh-CN"/>
        </w:rPr>
        <w:t>钦州市</w:t>
      </w:r>
      <w:r>
        <w:rPr>
          <w:rFonts w:eastAsia="仿宋_GB2312"/>
          <w:color w:val="auto"/>
          <w:sz w:val="32"/>
          <w:szCs w:val="32"/>
        </w:rPr>
        <w:t>农业产业化联席会议办公室组织</w:t>
      </w:r>
      <w:r>
        <w:rPr>
          <w:rFonts w:hint="eastAsia" w:eastAsia="仿宋_GB2312"/>
          <w:color w:val="auto"/>
          <w:sz w:val="32"/>
          <w:szCs w:val="32"/>
          <w:lang w:eastAsia="zh-CN"/>
        </w:rPr>
        <w:t>相关专业人员</w:t>
      </w:r>
      <w:r>
        <w:rPr>
          <w:rFonts w:eastAsia="仿宋_GB2312"/>
          <w:color w:val="auto"/>
          <w:sz w:val="32"/>
          <w:szCs w:val="32"/>
        </w:rPr>
        <w:t>进行材料初审</w:t>
      </w:r>
      <w:r>
        <w:rPr>
          <w:rFonts w:hint="eastAsia" w:eastAsia="仿宋_GB2312"/>
          <w:color w:val="auto"/>
          <w:sz w:val="32"/>
          <w:szCs w:val="32"/>
          <w:lang w:val="en-US" w:eastAsia="zh-CN"/>
        </w:rPr>
        <w:t>，必要时可到申请企业实地视察。</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pacing w:val="-10"/>
          <w:sz w:val="32"/>
          <w:szCs w:val="32"/>
        </w:rPr>
      </w:pPr>
      <w:r>
        <w:rPr>
          <w:rFonts w:eastAsia="仿宋_GB2312"/>
          <w:color w:val="auto"/>
          <w:sz w:val="32"/>
          <w:szCs w:val="32"/>
        </w:rPr>
        <w:t>（二）</w:t>
      </w:r>
      <w:r>
        <w:rPr>
          <w:rFonts w:eastAsia="仿宋_GB2312"/>
          <w:color w:val="auto"/>
          <w:spacing w:val="-10"/>
          <w:sz w:val="32"/>
          <w:szCs w:val="32"/>
        </w:rPr>
        <w:t>召开</w:t>
      </w:r>
      <w:r>
        <w:rPr>
          <w:rFonts w:hint="eastAsia" w:eastAsia="仿宋_GB2312"/>
          <w:color w:val="auto"/>
          <w:spacing w:val="-10"/>
          <w:sz w:val="32"/>
          <w:szCs w:val="32"/>
          <w:lang w:eastAsia="zh-CN"/>
        </w:rPr>
        <w:t>钦州市</w:t>
      </w:r>
      <w:r>
        <w:rPr>
          <w:rFonts w:eastAsia="仿宋_GB2312"/>
          <w:color w:val="auto"/>
          <w:spacing w:val="-10"/>
          <w:sz w:val="32"/>
          <w:szCs w:val="32"/>
        </w:rPr>
        <w:t>农业产业化联席会议审议，</w:t>
      </w:r>
      <w:r>
        <w:rPr>
          <w:rFonts w:hint="eastAsia" w:eastAsia="仿宋_GB2312"/>
          <w:color w:val="auto"/>
          <w:spacing w:val="-10"/>
          <w:sz w:val="32"/>
          <w:szCs w:val="32"/>
          <w:lang w:eastAsia="zh-CN"/>
        </w:rPr>
        <w:t>符合申报标准和条件的，</w:t>
      </w:r>
      <w:r>
        <w:rPr>
          <w:rFonts w:eastAsia="仿宋_GB2312"/>
          <w:color w:val="auto"/>
          <w:spacing w:val="-10"/>
          <w:sz w:val="32"/>
          <w:szCs w:val="32"/>
        </w:rPr>
        <w:t>确定拟认定企业名单</w:t>
      </w:r>
      <w:r>
        <w:rPr>
          <w:rFonts w:hint="eastAsia" w:eastAsia="仿宋_GB2312"/>
          <w:color w:val="auto"/>
          <w:spacing w:val="-10"/>
          <w:sz w:val="32"/>
          <w:szCs w:val="32"/>
          <w:lang w:eastAsia="zh-CN"/>
        </w:rPr>
        <w:t>，上报钦州市人民政府审定。</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（三）拟认定企业名单经媒体公示无异议后，由</w:t>
      </w:r>
      <w:r>
        <w:rPr>
          <w:rFonts w:hint="eastAsia" w:eastAsia="仿宋_GB2312"/>
          <w:color w:val="auto"/>
          <w:sz w:val="32"/>
          <w:szCs w:val="32"/>
          <w:lang w:eastAsia="zh-CN"/>
        </w:rPr>
        <w:t>钦州市</w:t>
      </w:r>
      <w:r>
        <w:rPr>
          <w:rFonts w:eastAsia="仿宋_GB2312"/>
          <w:color w:val="auto"/>
          <w:sz w:val="32"/>
          <w:szCs w:val="32"/>
        </w:rPr>
        <w:t>农业农村</w:t>
      </w:r>
      <w:r>
        <w:rPr>
          <w:rFonts w:hint="eastAsia" w:eastAsia="仿宋_GB2312"/>
          <w:color w:val="auto"/>
          <w:sz w:val="32"/>
          <w:szCs w:val="32"/>
          <w:lang w:eastAsia="zh-CN"/>
        </w:rPr>
        <w:t>局</w:t>
      </w:r>
      <w:r>
        <w:rPr>
          <w:rFonts w:eastAsia="仿宋_GB2312"/>
          <w:color w:val="auto"/>
          <w:sz w:val="32"/>
          <w:szCs w:val="32"/>
        </w:rPr>
        <w:t>发文公布认定名单，并颁发牌匾和证书。</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r>
        <w:rPr>
          <w:rFonts w:eastAsia="黑体"/>
          <w:color w:val="auto"/>
          <w:sz w:val="32"/>
          <w:szCs w:val="32"/>
        </w:rPr>
        <w:t xml:space="preserve">第十三条  </w:t>
      </w:r>
      <w:r>
        <w:rPr>
          <w:rFonts w:eastAsia="仿宋_GB2312"/>
          <w:color w:val="auto"/>
          <w:sz w:val="32"/>
          <w:szCs w:val="32"/>
        </w:rPr>
        <w:t>经认定的龙头企业，享受有关优惠政策，其控股的子公司不享受龙头企业有关优惠政策。</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r>
        <w:rPr>
          <w:rFonts w:eastAsia="黑体"/>
          <w:color w:val="auto"/>
          <w:sz w:val="32"/>
          <w:szCs w:val="32"/>
        </w:rPr>
        <w:t xml:space="preserve">第十四条  </w:t>
      </w:r>
      <w:r>
        <w:rPr>
          <w:rFonts w:eastAsia="仿宋_GB2312"/>
          <w:color w:val="auto"/>
          <w:sz w:val="32"/>
          <w:szCs w:val="32"/>
        </w:rPr>
        <w:t>每年认定1次</w:t>
      </w:r>
      <w:r>
        <w:rPr>
          <w:rFonts w:hint="eastAsia" w:eastAsia="仿宋_GB2312"/>
          <w:color w:val="auto"/>
          <w:sz w:val="32"/>
          <w:szCs w:val="32"/>
          <w:lang w:eastAsia="zh-CN"/>
        </w:rPr>
        <w:t>龙</w:t>
      </w:r>
      <w:r>
        <w:rPr>
          <w:rFonts w:eastAsia="仿宋_GB2312"/>
          <w:color w:val="auto"/>
          <w:sz w:val="32"/>
          <w:szCs w:val="32"/>
        </w:rPr>
        <w:t>头企业。</w:t>
      </w:r>
    </w:p>
    <w:p>
      <w:pPr>
        <w:keepNext w:val="0"/>
        <w:keepLines w:val="0"/>
        <w:pageBreakBefore w:val="0"/>
        <w:kinsoku/>
        <w:wordWrap/>
        <w:overflowPunct/>
        <w:topLinePunct w:val="0"/>
        <w:autoSpaceDE w:val="0"/>
        <w:autoSpaceDN w:val="0"/>
        <w:bidi w:val="0"/>
        <w:snapToGrid/>
        <w:spacing w:line="560" w:lineRule="exact"/>
        <w:ind w:firstLine="640" w:firstLineChars="200"/>
        <w:textAlignment w:val="auto"/>
        <w:rPr>
          <w:rFonts w:eastAsia="仿宋_GB2312"/>
          <w:color w:val="auto"/>
          <w:sz w:val="32"/>
          <w:szCs w:val="32"/>
        </w:rPr>
      </w:pPr>
    </w:p>
    <w:p>
      <w:pPr>
        <w:keepNext w:val="0"/>
        <w:keepLines w:val="0"/>
        <w:pageBreakBefore w:val="0"/>
        <w:kinsoku/>
        <w:wordWrap/>
        <w:overflowPunct/>
        <w:topLinePunct w:val="0"/>
        <w:autoSpaceDE w:val="0"/>
        <w:autoSpaceDN w:val="0"/>
        <w:bidi w:val="0"/>
        <w:snapToGrid/>
        <w:spacing w:line="560" w:lineRule="exact"/>
        <w:jc w:val="center"/>
        <w:textAlignment w:val="auto"/>
        <w:rPr>
          <w:rFonts w:hint="eastAsia" w:eastAsia="黑体"/>
          <w:snapToGrid w:val="0"/>
          <w:color w:val="auto"/>
          <w:kern w:val="0"/>
          <w:sz w:val="32"/>
          <w:szCs w:val="32"/>
        </w:rPr>
      </w:pPr>
      <w:r>
        <w:rPr>
          <w:rFonts w:eastAsia="黑体"/>
          <w:snapToGrid w:val="0"/>
          <w:color w:val="auto"/>
          <w:kern w:val="0"/>
          <w:sz w:val="32"/>
          <w:szCs w:val="32"/>
        </w:rPr>
        <w:t>第四章  运行监测</w:t>
      </w:r>
    </w:p>
    <w:p>
      <w:pPr>
        <w:keepNext w:val="0"/>
        <w:keepLines w:val="0"/>
        <w:pageBreakBefore w:val="0"/>
        <w:widowControl/>
        <w:shd w:val="clear" w:color="auto" w:fill="FFFFFF"/>
        <w:kinsoku/>
        <w:wordWrap/>
        <w:overflowPunct/>
        <w:topLinePunct w:val="0"/>
        <w:bidi w:val="0"/>
        <w:snapToGrid/>
        <w:spacing w:line="560" w:lineRule="exact"/>
        <w:ind w:firstLine="640" w:firstLineChars="200"/>
        <w:textAlignment w:val="auto"/>
        <w:rPr>
          <w:rFonts w:eastAsia="仿宋_GB2312"/>
          <w:color w:val="auto"/>
          <w:kern w:val="0"/>
          <w:sz w:val="32"/>
          <w:szCs w:val="32"/>
        </w:rPr>
      </w:pPr>
      <w:r>
        <w:rPr>
          <w:rFonts w:eastAsia="黑体"/>
          <w:color w:val="auto"/>
          <w:sz w:val="32"/>
          <w:szCs w:val="32"/>
        </w:rPr>
        <w:t xml:space="preserve">第十五条  </w:t>
      </w:r>
      <w:r>
        <w:rPr>
          <w:rFonts w:hint="default" w:eastAsia="仿宋_GB2312"/>
          <w:color w:val="auto"/>
          <w:sz w:val="32"/>
          <w:szCs w:val="32"/>
          <w:lang w:eastAsia="zh-CN"/>
        </w:rPr>
        <w:t>龙</w:t>
      </w:r>
      <w:r>
        <w:rPr>
          <w:rFonts w:eastAsia="仿宋_GB2312"/>
          <w:color w:val="auto"/>
          <w:sz w:val="32"/>
          <w:szCs w:val="32"/>
        </w:rPr>
        <w:t>头企业实行动态管理，每3年</w:t>
      </w:r>
      <w:r>
        <w:rPr>
          <w:rFonts w:eastAsia="仿宋_GB2312"/>
          <w:color w:val="auto"/>
          <w:kern w:val="0"/>
          <w:sz w:val="32"/>
          <w:szCs w:val="32"/>
        </w:rPr>
        <w:t>开展一次运行监测</w:t>
      </w:r>
      <w:r>
        <w:rPr>
          <w:rFonts w:eastAsia="仿宋_GB2312"/>
          <w:color w:val="auto"/>
          <w:sz w:val="32"/>
          <w:szCs w:val="32"/>
        </w:rPr>
        <w:t>。同时获得农业产业化国家重点龙头企业</w:t>
      </w:r>
      <w:r>
        <w:rPr>
          <w:rFonts w:hint="eastAsia" w:eastAsia="仿宋_GB2312"/>
          <w:color w:val="auto"/>
          <w:sz w:val="32"/>
          <w:szCs w:val="32"/>
          <w:lang w:eastAsia="zh-CN"/>
        </w:rPr>
        <w:t>和广西农业产业化重点龙头企业</w:t>
      </w:r>
      <w:r>
        <w:rPr>
          <w:rFonts w:eastAsia="仿宋_GB2312"/>
          <w:color w:val="auto"/>
          <w:sz w:val="32"/>
          <w:szCs w:val="32"/>
        </w:rPr>
        <w:t>认定的企业，按国家</w:t>
      </w:r>
      <w:r>
        <w:rPr>
          <w:rFonts w:hint="eastAsia" w:eastAsia="仿宋_GB2312"/>
          <w:color w:val="auto"/>
          <w:sz w:val="32"/>
          <w:szCs w:val="32"/>
          <w:lang w:eastAsia="zh-CN"/>
        </w:rPr>
        <w:t>和自治区相关</w:t>
      </w:r>
      <w:r>
        <w:rPr>
          <w:rFonts w:eastAsia="仿宋_GB2312"/>
          <w:color w:val="auto"/>
          <w:sz w:val="32"/>
          <w:szCs w:val="32"/>
        </w:rPr>
        <w:t>运行监测管理办法执行，</w:t>
      </w:r>
      <w:r>
        <w:rPr>
          <w:rFonts w:hint="eastAsia" w:eastAsia="仿宋_GB2312"/>
          <w:color w:val="auto"/>
          <w:sz w:val="32"/>
          <w:szCs w:val="32"/>
          <w:lang w:eastAsia="zh-CN"/>
        </w:rPr>
        <w:t>钦州市</w:t>
      </w:r>
      <w:r>
        <w:rPr>
          <w:rFonts w:eastAsia="仿宋_GB2312"/>
          <w:color w:val="auto"/>
          <w:sz w:val="32"/>
          <w:szCs w:val="32"/>
        </w:rPr>
        <w:t>不再重复监测</w:t>
      </w:r>
      <w:r>
        <w:rPr>
          <w:rFonts w:eastAsia="仿宋_GB2312"/>
          <w:color w:val="auto"/>
          <w:kern w:val="0"/>
          <w:sz w:val="32"/>
          <w:szCs w:val="32"/>
        </w:rPr>
        <w:t>。</w:t>
      </w:r>
    </w:p>
    <w:p>
      <w:pPr>
        <w:keepNext w:val="0"/>
        <w:keepLines w:val="0"/>
        <w:pageBreakBefore w:val="0"/>
        <w:widowControl/>
        <w:shd w:val="clear" w:color="auto" w:fill="FFFFFF"/>
        <w:kinsoku/>
        <w:wordWrap/>
        <w:overflowPunct/>
        <w:topLinePunct w:val="0"/>
        <w:bidi w:val="0"/>
        <w:snapToGrid/>
        <w:spacing w:line="560" w:lineRule="exact"/>
        <w:ind w:firstLine="640" w:firstLineChars="200"/>
        <w:textAlignment w:val="auto"/>
        <w:rPr>
          <w:rFonts w:eastAsia="仿宋_GB2312"/>
          <w:color w:val="auto"/>
          <w:kern w:val="0"/>
          <w:sz w:val="32"/>
          <w:szCs w:val="32"/>
        </w:rPr>
      </w:pPr>
      <w:r>
        <w:rPr>
          <w:rFonts w:eastAsia="黑体"/>
          <w:color w:val="auto"/>
          <w:sz w:val="32"/>
          <w:szCs w:val="32"/>
        </w:rPr>
        <w:t xml:space="preserve">第十六条  </w:t>
      </w:r>
      <w:r>
        <w:rPr>
          <w:rFonts w:eastAsia="仿宋_GB2312"/>
          <w:color w:val="auto"/>
          <w:kern w:val="0"/>
          <w:sz w:val="32"/>
          <w:szCs w:val="32"/>
        </w:rPr>
        <w:t>监测</w:t>
      </w:r>
      <w:r>
        <w:rPr>
          <w:rFonts w:eastAsia="仿宋_GB2312"/>
          <w:color w:val="auto"/>
          <w:sz w:val="32"/>
          <w:szCs w:val="32"/>
        </w:rPr>
        <w:t>企业应按时报送监测有关材料，</w:t>
      </w:r>
      <w:r>
        <w:rPr>
          <w:rFonts w:eastAsia="仿宋_GB2312"/>
          <w:color w:val="auto"/>
          <w:kern w:val="0"/>
          <w:sz w:val="32"/>
          <w:szCs w:val="32"/>
        </w:rPr>
        <w:t>作为监测评估依据。</w:t>
      </w:r>
      <w:r>
        <w:rPr>
          <w:rFonts w:eastAsia="仿宋_GB2312"/>
          <w:color w:val="auto"/>
          <w:sz w:val="32"/>
          <w:szCs w:val="32"/>
        </w:rPr>
        <w:t>逾期或不报送材料的，视为自动放弃龙头企业资格。</w:t>
      </w:r>
    </w:p>
    <w:p>
      <w:pPr>
        <w:keepNext w:val="0"/>
        <w:keepLines w:val="0"/>
        <w:pageBreakBefore w:val="0"/>
        <w:kinsoku/>
        <w:wordWrap/>
        <w:overflowPunct/>
        <w:topLinePunct w:val="0"/>
        <w:autoSpaceDE w:val="0"/>
        <w:autoSpaceDN w:val="0"/>
        <w:bidi w:val="0"/>
        <w:snapToGrid/>
        <w:spacing w:line="560" w:lineRule="exact"/>
        <w:ind w:firstLine="640" w:firstLineChars="200"/>
        <w:textAlignment w:val="auto"/>
        <w:rPr>
          <w:rFonts w:eastAsia="仿宋_GB2312"/>
          <w:color w:val="auto"/>
          <w:kern w:val="0"/>
          <w:sz w:val="32"/>
          <w:szCs w:val="32"/>
        </w:rPr>
      </w:pPr>
      <w:r>
        <w:rPr>
          <w:rFonts w:eastAsia="黑体"/>
          <w:color w:val="auto"/>
          <w:sz w:val="32"/>
          <w:szCs w:val="32"/>
        </w:rPr>
        <w:t xml:space="preserve">第十七条  </w:t>
      </w:r>
      <w:r>
        <w:rPr>
          <w:rFonts w:hint="eastAsia" w:ascii="仿宋_GB2312" w:hAnsi="仿宋_GB2312" w:eastAsia="仿宋_GB2312" w:cs="仿宋_GB2312"/>
          <w:color w:val="auto"/>
          <w:sz w:val="32"/>
          <w:szCs w:val="32"/>
          <w:lang w:eastAsia="zh-CN"/>
        </w:rPr>
        <w:t>钦州市</w:t>
      </w:r>
      <w:r>
        <w:rPr>
          <w:rFonts w:eastAsia="仿宋_GB2312"/>
          <w:color w:val="auto"/>
          <w:kern w:val="0"/>
          <w:sz w:val="32"/>
          <w:szCs w:val="32"/>
        </w:rPr>
        <w:t>农业产业化联席会议加强对龙头企业的跟踪调查，采取实地考察、随机抽查、重点督查等方式，了解企业基地建设、生产加工、市场销售、带农增收、质量安全等情况，帮助企业解决发展中遇到的困难，完善相关扶持政策。</w:t>
      </w:r>
    </w:p>
    <w:p>
      <w:pPr>
        <w:keepNext w:val="0"/>
        <w:keepLines w:val="0"/>
        <w:pageBreakBefore w:val="0"/>
        <w:kinsoku/>
        <w:wordWrap/>
        <w:overflowPunct/>
        <w:topLinePunct w:val="0"/>
        <w:autoSpaceDE w:val="0"/>
        <w:autoSpaceDN w:val="0"/>
        <w:bidi w:val="0"/>
        <w:snapToGrid/>
        <w:spacing w:line="560" w:lineRule="exact"/>
        <w:ind w:firstLine="640" w:firstLineChars="200"/>
        <w:textAlignment w:val="auto"/>
        <w:rPr>
          <w:rFonts w:eastAsia="仿宋_GB2312"/>
          <w:color w:val="auto"/>
          <w:sz w:val="32"/>
          <w:szCs w:val="32"/>
        </w:rPr>
      </w:pPr>
      <w:r>
        <w:rPr>
          <w:rFonts w:ascii="黑体" w:hAnsi="黑体" w:eastAsia="黑体"/>
          <w:color w:val="auto"/>
          <w:sz w:val="32"/>
          <w:szCs w:val="32"/>
        </w:rPr>
        <w:t>第十八条</w:t>
      </w:r>
      <w:r>
        <w:rPr>
          <w:rFonts w:eastAsia="仿宋_GB2312"/>
          <w:color w:val="auto"/>
          <w:sz w:val="32"/>
          <w:szCs w:val="32"/>
        </w:rPr>
        <w:t xml:space="preserve">  监测的具体办法：</w:t>
      </w:r>
    </w:p>
    <w:p>
      <w:pPr>
        <w:keepNext w:val="0"/>
        <w:keepLines w:val="0"/>
        <w:pageBreakBefore w:val="0"/>
        <w:kinsoku/>
        <w:wordWrap/>
        <w:overflowPunct/>
        <w:topLinePunct w:val="0"/>
        <w:autoSpaceDE w:val="0"/>
        <w:autoSpaceDN w:val="0"/>
        <w:bidi w:val="0"/>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（一）企业提交材料。监测企业应按第八条内容报送材料，</w:t>
      </w:r>
      <w:r>
        <w:rPr>
          <w:rFonts w:eastAsia="仿宋_GB2312"/>
          <w:color w:val="auto"/>
          <w:kern w:val="0"/>
          <w:sz w:val="32"/>
          <w:szCs w:val="32"/>
        </w:rPr>
        <w:t>审计报告和</w:t>
      </w:r>
      <w:r>
        <w:rPr>
          <w:rFonts w:eastAsia="仿宋_GB2312"/>
          <w:color w:val="auto"/>
          <w:sz w:val="32"/>
          <w:szCs w:val="32"/>
        </w:rPr>
        <w:t>带动农户情况证明材料</w:t>
      </w:r>
      <w:r>
        <w:rPr>
          <w:rFonts w:eastAsia="仿宋_GB2312"/>
          <w:color w:val="auto"/>
          <w:kern w:val="0"/>
          <w:sz w:val="32"/>
          <w:szCs w:val="32"/>
        </w:rPr>
        <w:t>仅需提供上一年度数据</w:t>
      </w:r>
      <w:r>
        <w:rPr>
          <w:rFonts w:eastAsia="仿宋_GB2312"/>
          <w:color w:val="auto"/>
          <w:sz w:val="32"/>
          <w:szCs w:val="32"/>
        </w:rPr>
        <w:t>。</w:t>
      </w:r>
    </w:p>
    <w:p>
      <w:pPr>
        <w:keepNext w:val="0"/>
        <w:keepLines w:val="0"/>
        <w:pageBreakBefore w:val="0"/>
        <w:kinsoku/>
        <w:wordWrap/>
        <w:overflowPunct/>
        <w:topLinePunct w:val="0"/>
        <w:autoSpaceDE w:val="0"/>
        <w:autoSpaceDN w:val="0"/>
        <w:bidi w:val="0"/>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（二）材料报送程序。与第九、十条类同。</w:t>
      </w:r>
    </w:p>
    <w:p>
      <w:pPr>
        <w:keepNext w:val="0"/>
        <w:keepLines w:val="0"/>
        <w:pageBreakBefore w:val="0"/>
        <w:kinsoku/>
        <w:wordWrap/>
        <w:overflowPunct/>
        <w:topLinePunct w:val="0"/>
        <w:autoSpaceDE w:val="0"/>
        <w:autoSpaceDN w:val="0"/>
        <w:bidi w:val="0"/>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（三）开展监测。与第十二条的一、二项类同。</w:t>
      </w:r>
    </w:p>
    <w:p>
      <w:pPr>
        <w:keepNext w:val="0"/>
        <w:keepLines w:val="0"/>
        <w:pageBreakBefore w:val="0"/>
        <w:kinsoku/>
        <w:wordWrap/>
        <w:overflowPunct/>
        <w:topLinePunct w:val="0"/>
        <w:autoSpaceDE w:val="0"/>
        <w:autoSpaceDN w:val="0"/>
        <w:bidi w:val="0"/>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（四）结果公布。监测合格企业名单经媒体公示无异议后，由</w:t>
      </w:r>
      <w:r>
        <w:rPr>
          <w:rFonts w:hint="eastAsia" w:eastAsia="仿宋_GB2312"/>
          <w:color w:val="auto"/>
          <w:sz w:val="32"/>
          <w:szCs w:val="32"/>
          <w:lang w:eastAsia="zh-CN"/>
        </w:rPr>
        <w:t>钦州市</w:t>
      </w:r>
      <w:r>
        <w:rPr>
          <w:rFonts w:eastAsia="仿宋_GB2312"/>
          <w:color w:val="auto"/>
          <w:sz w:val="32"/>
          <w:szCs w:val="32"/>
        </w:rPr>
        <w:t>农业农村</w:t>
      </w:r>
      <w:r>
        <w:rPr>
          <w:rFonts w:hint="eastAsia" w:eastAsia="仿宋_GB2312"/>
          <w:color w:val="auto"/>
          <w:sz w:val="32"/>
          <w:szCs w:val="32"/>
          <w:lang w:eastAsia="zh-CN"/>
        </w:rPr>
        <w:t>局</w:t>
      </w:r>
      <w:r>
        <w:rPr>
          <w:rFonts w:eastAsia="仿宋_GB2312"/>
          <w:color w:val="auto"/>
          <w:sz w:val="32"/>
          <w:szCs w:val="32"/>
        </w:rPr>
        <w:t>行文公布监测结果。</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黑体"/>
          <w:color w:val="auto"/>
          <w:sz w:val="32"/>
          <w:szCs w:val="32"/>
        </w:rPr>
      </w:pPr>
      <w:r>
        <w:rPr>
          <w:rFonts w:eastAsia="黑体"/>
          <w:color w:val="auto"/>
          <w:sz w:val="32"/>
          <w:szCs w:val="32"/>
        </w:rPr>
        <w:t xml:space="preserve">第十九条  </w:t>
      </w:r>
      <w:r>
        <w:rPr>
          <w:rFonts w:eastAsia="仿宋_GB2312"/>
          <w:color w:val="auto"/>
          <w:sz w:val="32"/>
          <w:szCs w:val="32"/>
        </w:rPr>
        <w:t>龙头企业经监测合格的，继续保留龙头企业资格，享受有关优惠政策；监测不合格的，取消龙头企业资格，不再享受有关优惠政策，1年内不得再申报。</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r>
        <w:rPr>
          <w:rFonts w:eastAsia="黑体"/>
          <w:color w:val="auto"/>
          <w:sz w:val="32"/>
          <w:szCs w:val="32"/>
        </w:rPr>
        <w:t xml:space="preserve">第二十条  </w:t>
      </w:r>
      <w:r>
        <w:rPr>
          <w:rFonts w:eastAsia="仿宋_GB2312"/>
          <w:color w:val="auto"/>
          <w:sz w:val="32"/>
          <w:szCs w:val="32"/>
        </w:rPr>
        <w:t>龙头企业有效期为认定（监测）结果公布之日至下一次监测结果公布之日。</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p>
    <w:p>
      <w:pPr>
        <w:keepNext w:val="0"/>
        <w:keepLines w:val="0"/>
        <w:pageBreakBefore w:val="0"/>
        <w:kinsoku/>
        <w:wordWrap/>
        <w:overflowPunct/>
        <w:topLinePunct w:val="0"/>
        <w:autoSpaceDE w:val="0"/>
        <w:autoSpaceDN w:val="0"/>
        <w:bidi w:val="0"/>
        <w:adjustRightInd/>
        <w:snapToGrid/>
        <w:spacing w:line="560" w:lineRule="exact"/>
        <w:ind w:firstLine="640" w:firstLineChars="200"/>
        <w:jc w:val="center"/>
        <w:textAlignment w:val="auto"/>
        <w:rPr>
          <w:rFonts w:eastAsia="仿宋_GB2312"/>
          <w:b/>
          <w:color w:val="auto"/>
          <w:sz w:val="32"/>
          <w:szCs w:val="32"/>
        </w:rPr>
      </w:pPr>
      <w:r>
        <w:rPr>
          <w:rFonts w:eastAsia="黑体"/>
          <w:snapToGrid w:val="0"/>
          <w:color w:val="auto"/>
          <w:kern w:val="0"/>
          <w:sz w:val="32"/>
          <w:szCs w:val="32"/>
        </w:rPr>
        <w:t>第五章  附 则</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黑体"/>
          <w:snapToGrid w:val="0"/>
          <w:color w:val="auto"/>
          <w:kern w:val="0"/>
          <w:sz w:val="32"/>
          <w:szCs w:val="32"/>
        </w:rPr>
      </w:pPr>
      <w:r>
        <w:rPr>
          <w:rFonts w:eastAsia="黑体"/>
          <w:color w:val="auto"/>
          <w:sz w:val="32"/>
          <w:szCs w:val="32"/>
        </w:rPr>
        <w:t xml:space="preserve">第二十一条  </w:t>
      </w:r>
      <w:r>
        <w:rPr>
          <w:rFonts w:eastAsia="仿宋_GB2312"/>
          <w:color w:val="auto"/>
          <w:sz w:val="32"/>
          <w:szCs w:val="32"/>
        </w:rPr>
        <w:t>已认定和申报龙头企业的企业，应按要求如实提供有关材料，并对材料的真实性负责。</w:t>
      </w:r>
      <w:r>
        <w:rPr>
          <w:rFonts w:eastAsia="仿宋_GB2312"/>
          <w:color w:val="auto"/>
          <w:kern w:val="0"/>
          <w:sz w:val="32"/>
          <w:szCs w:val="32"/>
        </w:rPr>
        <w:t>如存在舞弊行为，一经查实，已经认定的取消</w:t>
      </w:r>
      <w:r>
        <w:rPr>
          <w:rFonts w:eastAsia="仿宋_GB2312"/>
          <w:color w:val="auto"/>
          <w:sz w:val="32"/>
          <w:szCs w:val="32"/>
        </w:rPr>
        <w:t>其龙头企业资格；未经认定的</w:t>
      </w:r>
      <w:r>
        <w:rPr>
          <w:rFonts w:eastAsia="仿宋_GB2312"/>
          <w:color w:val="auto"/>
          <w:kern w:val="0"/>
          <w:sz w:val="32"/>
          <w:szCs w:val="32"/>
        </w:rPr>
        <w:t>取消其申报资格，2年内不得再申报。</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黑体"/>
          <w:color w:val="auto"/>
          <w:sz w:val="32"/>
          <w:szCs w:val="32"/>
        </w:rPr>
      </w:pPr>
      <w:r>
        <w:rPr>
          <w:rFonts w:eastAsia="黑体"/>
          <w:color w:val="auto"/>
          <w:sz w:val="32"/>
          <w:szCs w:val="32"/>
        </w:rPr>
        <w:t xml:space="preserve">第二十二条  </w:t>
      </w:r>
      <w:r>
        <w:rPr>
          <w:rFonts w:eastAsia="仿宋_GB2312"/>
          <w:color w:val="auto"/>
          <w:sz w:val="32"/>
          <w:szCs w:val="32"/>
        </w:rPr>
        <w:t>龙头企业发生产品质量安全重大事故、较大环境污染及破坏事件、税收违法案件、上市违规操作、坑农害农等严重行为的，</w:t>
      </w:r>
      <w:r>
        <w:rPr>
          <w:rFonts w:hint="eastAsia" w:eastAsia="仿宋_GB2312"/>
          <w:color w:val="auto"/>
          <w:sz w:val="32"/>
          <w:szCs w:val="32"/>
          <w:lang w:eastAsia="zh-CN"/>
        </w:rPr>
        <w:t>钦州市</w:t>
      </w:r>
      <w:r>
        <w:rPr>
          <w:rFonts w:eastAsia="仿宋_GB2312"/>
          <w:color w:val="auto"/>
          <w:sz w:val="32"/>
          <w:szCs w:val="32"/>
        </w:rPr>
        <w:t>农业农村</w:t>
      </w:r>
      <w:r>
        <w:rPr>
          <w:rFonts w:hint="eastAsia" w:eastAsia="仿宋_GB2312"/>
          <w:color w:val="auto"/>
          <w:sz w:val="32"/>
          <w:szCs w:val="32"/>
          <w:lang w:eastAsia="zh-CN"/>
        </w:rPr>
        <w:t>局</w:t>
      </w:r>
      <w:r>
        <w:rPr>
          <w:rFonts w:eastAsia="仿宋_GB2312"/>
          <w:color w:val="auto"/>
          <w:sz w:val="32"/>
          <w:szCs w:val="32"/>
        </w:rPr>
        <w:t>行文取消其龙头企业资格，2年内不得再申报。</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r>
        <w:rPr>
          <w:rFonts w:eastAsia="黑体"/>
          <w:color w:val="auto"/>
          <w:sz w:val="32"/>
          <w:szCs w:val="32"/>
        </w:rPr>
        <w:t xml:space="preserve">第二十三条  </w:t>
      </w:r>
      <w:r>
        <w:rPr>
          <w:rFonts w:eastAsia="仿宋_GB2312"/>
          <w:color w:val="auto"/>
          <w:sz w:val="32"/>
          <w:szCs w:val="32"/>
        </w:rPr>
        <w:t>龙头企业有义务配合农业产业化主管部门工作，积极参加政府和主管部门组织的农业展会及重大活动，按要求及时提供有关材料。对配合主管部门工作</w:t>
      </w:r>
      <w:r>
        <w:rPr>
          <w:rFonts w:hint="eastAsia" w:eastAsia="仿宋_GB2312"/>
          <w:color w:val="auto"/>
          <w:sz w:val="32"/>
          <w:szCs w:val="32"/>
        </w:rPr>
        <w:t>，</w:t>
      </w:r>
      <w:r>
        <w:rPr>
          <w:rFonts w:eastAsia="仿宋_GB2312"/>
          <w:color w:val="auto"/>
          <w:sz w:val="32"/>
          <w:szCs w:val="32"/>
        </w:rPr>
        <w:t>及时</w:t>
      </w:r>
      <w:r>
        <w:rPr>
          <w:rFonts w:hint="eastAsia" w:eastAsia="仿宋_GB2312"/>
          <w:color w:val="auto"/>
          <w:sz w:val="32"/>
          <w:szCs w:val="32"/>
        </w:rPr>
        <w:t>准确</w:t>
      </w:r>
      <w:r>
        <w:rPr>
          <w:rFonts w:eastAsia="仿宋_GB2312"/>
          <w:color w:val="auto"/>
          <w:sz w:val="32"/>
          <w:szCs w:val="32"/>
        </w:rPr>
        <w:t>提供材料的企业</w:t>
      </w:r>
      <w:r>
        <w:rPr>
          <w:rFonts w:hint="eastAsia" w:eastAsia="仿宋_GB2312"/>
          <w:color w:val="auto"/>
          <w:sz w:val="32"/>
          <w:szCs w:val="32"/>
        </w:rPr>
        <w:t>在项目安排上予以倾斜</w:t>
      </w:r>
      <w:r>
        <w:rPr>
          <w:rFonts w:hint="eastAsia" w:eastAsia="仿宋_GB2312"/>
          <w:color w:val="auto"/>
          <w:sz w:val="32"/>
          <w:szCs w:val="32"/>
          <w:lang w:val="en-US" w:eastAsia="zh-CN"/>
        </w:rPr>
        <w:t>,享受各级各部门扶持政策</w:t>
      </w:r>
      <w:r>
        <w:rPr>
          <w:rFonts w:eastAsia="仿宋_GB2312"/>
          <w:color w:val="auto"/>
          <w:sz w:val="32"/>
          <w:szCs w:val="32"/>
        </w:rPr>
        <w:t>。</w:t>
      </w:r>
    </w:p>
    <w:p>
      <w:pPr>
        <w:keepNext w:val="0"/>
        <w:keepLines w:val="0"/>
        <w:pageBreakBefore w:val="0"/>
        <w:widowControl/>
        <w:shd w:val="clear" w:color="auto" w:fill="FFFFFF"/>
        <w:kinsoku/>
        <w:wordWrap/>
        <w:overflowPunct/>
        <w:topLinePunct w:val="0"/>
        <w:bidi w:val="0"/>
        <w:adjustRightInd/>
        <w:snapToGrid/>
        <w:spacing w:line="560" w:lineRule="exact"/>
        <w:ind w:firstLine="640" w:firstLineChars="200"/>
        <w:textAlignment w:val="auto"/>
        <w:rPr>
          <w:rFonts w:eastAsia="仿宋_GB2312"/>
          <w:color w:val="auto"/>
          <w:kern w:val="0"/>
          <w:sz w:val="32"/>
          <w:szCs w:val="32"/>
        </w:rPr>
      </w:pPr>
      <w:r>
        <w:rPr>
          <w:rFonts w:eastAsia="黑体"/>
          <w:color w:val="auto"/>
          <w:sz w:val="32"/>
          <w:szCs w:val="32"/>
        </w:rPr>
        <w:t xml:space="preserve">第二十四条  </w:t>
      </w:r>
      <w:r>
        <w:rPr>
          <w:rFonts w:eastAsia="仿宋_GB2312"/>
          <w:color w:val="auto"/>
          <w:kern w:val="0"/>
          <w:sz w:val="32"/>
          <w:szCs w:val="32"/>
        </w:rPr>
        <w:t>对在申报、认定、监测评审工作中，不坚持公开、公平、公正原则，存在徇私舞弊行为的有关人员，按有关党纪政纪规定予以严肃查处。</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r>
        <w:rPr>
          <w:rFonts w:eastAsia="黑体"/>
          <w:color w:val="auto"/>
          <w:sz w:val="32"/>
          <w:szCs w:val="32"/>
        </w:rPr>
        <w:t xml:space="preserve">第二十五条  </w:t>
      </w:r>
      <w:r>
        <w:rPr>
          <w:rFonts w:eastAsia="仿宋_GB2312"/>
          <w:color w:val="auto"/>
          <w:sz w:val="32"/>
          <w:szCs w:val="32"/>
        </w:rPr>
        <w:t>龙头企业更改名称，应在更名后30日内，将更名前后的营业执照及企业变更通知书复印件报</w:t>
      </w:r>
      <w:r>
        <w:rPr>
          <w:rFonts w:hint="eastAsia" w:eastAsia="仿宋_GB2312"/>
          <w:color w:val="auto"/>
          <w:sz w:val="32"/>
          <w:szCs w:val="32"/>
          <w:lang w:eastAsia="zh-CN"/>
        </w:rPr>
        <w:t>钦州市</w:t>
      </w:r>
      <w:r>
        <w:rPr>
          <w:rFonts w:eastAsia="仿宋_GB2312"/>
          <w:color w:val="auto"/>
          <w:sz w:val="32"/>
          <w:szCs w:val="32"/>
        </w:rPr>
        <w:t>农业产业化联席会议办公室审核确认。</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黑体"/>
          <w:snapToGrid w:val="0"/>
          <w:color w:val="auto"/>
          <w:kern w:val="0"/>
          <w:sz w:val="32"/>
          <w:szCs w:val="32"/>
        </w:rPr>
      </w:pPr>
      <w:r>
        <w:rPr>
          <w:rFonts w:eastAsia="黑体"/>
          <w:color w:val="auto"/>
          <w:sz w:val="32"/>
          <w:szCs w:val="32"/>
        </w:rPr>
        <w:t xml:space="preserve">第二十六条  </w:t>
      </w:r>
      <w:r>
        <w:rPr>
          <w:rFonts w:hint="eastAsia" w:eastAsia="仿宋_GB2312"/>
          <w:color w:val="auto"/>
          <w:sz w:val="32"/>
          <w:szCs w:val="32"/>
          <w:lang w:eastAsia="zh-CN"/>
        </w:rPr>
        <w:t>各县（区）</w:t>
      </w:r>
      <w:r>
        <w:rPr>
          <w:rFonts w:eastAsia="仿宋_GB2312"/>
          <w:color w:val="auto"/>
          <w:sz w:val="32"/>
          <w:szCs w:val="32"/>
        </w:rPr>
        <w:t>农业农村局可参照本办法，制定本级农业产业化重点龙头企业有关管理办法。</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auto"/>
          <w:sz w:val="32"/>
          <w:szCs w:val="32"/>
        </w:rPr>
      </w:pPr>
      <w:r>
        <w:rPr>
          <w:rFonts w:eastAsia="黑体"/>
          <w:color w:val="auto"/>
          <w:sz w:val="32"/>
          <w:szCs w:val="32"/>
        </w:rPr>
        <w:t xml:space="preserve">第二十七条  </w:t>
      </w:r>
      <w:r>
        <w:rPr>
          <w:rFonts w:eastAsia="仿宋_GB2312"/>
          <w:color w:val="auto"/>
          <w:sz w:val="32"/>
          <w:szCs w:val="32"/>
        </w:rPr>
        <w:t>本办法由</w:t>
      </w:r>
      <w:r>
        <w:rPr>
          <w:rFonts w:hint="eastAsia" w:eastAsia="仿宋_GB2312"/>
          <w:color w:val="auto"/>
          <w:sz w:val="32"/>
          <w:szCs w:val="32"/>
          <w:lang w:eastAsia="zh-CN"/>
        </w:rPr>
        <w:t>钦州市</w:t>
      </w:r>
      <w:r>
        <w:rPr>
          <w:rFonts w:eastAsia="仿宋_GB2312"/>
          <w:color w:val="auto"/>
          <w:sz w:val="32"/>
          <w:szCs w:val="32"/>
        </w:rPr>
        <w:t>农业农村</w:t>
      </w:r>
      <w:r>
        <w:rPr>
          <w:rFonts w:hint="eastAsia" w:eastAsia="仿宋_GB2312"/>
          <w:color w:val="auto"/>
          <w:sz w:val="32"/>
          <w:szCs w:val="32"/>
          <w:lang w:eastAsia="zh-CN"/>
        </w:rPr>
        <w:t>局</w:t>
      </w:r>
      <w:r>
        <w:rPr>
          <w:rFonts w:eastAsia="仿宋_GB2312"/>
          <w:color w:val="auto"/>
          <w:sz w:val="32"/>
          <w:szCs w:val="32"/>
        </w:rPr>
        <w:t>负责解释。</w:t>
      </w:r>
    </w:p>
    <w:p>
      <w:pPr>
        <w:keepNext w:val="0"/>
        <w:keepLines w:val="0"/>
        <w:pageBreakBefore w:val="0"/>
        <w:kinsoku/>
        <w:wordWrap/>
        <w:overflowPunct/>
        <w:topLinePunct w:val="0"/>
        <w:bidi w:val="0"/>
        <w:adjustRightInd/>
        <w:snapToGrid/>
        <w:spacing w:line="560" w:lineRule="exact"/>
        <w:ind w:firstLine="640" w:firstLineChars="200"/>
        <w:textAlignment w:val="auto"/>
        <w:rPr>
          <w:rFonts w:eastAsia="仿宋_GB2312"/>
          <w:snapToGrid w:val="0"/>
          <w:color w:val="auto"/>
          <w:kern w:val="0"/>
          <w:sz w:val="32"/>
          <w:szCs w:val="32"/>
        </w:rPr>
      </w:pPr>
      <w:r>
        <w:rPr>
          <w:rFonts w:eastAsia="黑体"/>
          <w:color w:val="auto"/>
          <w:sz w:val="32"/>
          <w:szCs w:val="32"/>
        </w:rPr>
        <w:t xml:space="preserve">第二十八条  </w:t>
      </w:r>
      <w:r>
        <w:rPr>
          <w:rFonts w:eastAsia="仿宋_GB2312"/>
          <w:color w:val="auto"/>
          <w:sz w:val="32"/>
          <w:szCs w:val="32"/>
        </w:rPr>
        <w:t>本办法自公布之日起施行，</w:t>
      </w:r>
      <w:r>
        <w:rPr>
          <w:rFonts w:hint="eastAsia" w:eastAsia="仿宋_GB2312"/>
          <w:color w:val="auto"/>
          <w:sz w:val="32"/>
          <w:szCs w:val="32"/>
          <w:lang w:eastAsia="zh-CN"/>
        </w:rPr>
        <w:t>此前我市印发的有关</w:t>
      </w:r>
      <w:r>
        <w:rPr>
          <w:rFonts w:hint="eastAsia" w:eastAsia="仿宋_GB2312"/>
          <w:snapToGrid w:val="0"/>
          <w:color w:val="auto"/>
          <w:kern w:val="0"/>
          <w:sz w:val="32"/>
          <w:szCs w:val="32"/>
          <w:lang w:eastAsia="zh-CN"/>
        </w:rPr>
        <w:t>农业产业化重点龙头企业认定相关规定</w:t>
      </w:r>
      <w:r>
        <w:rPr>
          <w:rFonts w:eastAsia="仿宋_GB2312"/>
          <w:snapToGrid w:val="0"/>
          <w:color w:val="auto"/>
          <w:kern w:val="0"/>
          <w:sz w:val="32"/>
          <w:szCs w:val="32"/>
        </w:rPr>
        <w:t>同时废止。</w:t>
      </w:r>
    </w:p>
    <w:p>
      <w:pPr>
        <w:pStyle w:val="2"/>
        <w:keepNext w:val="0"/>
        <w:keepLines w:val="0"/>
        <w:pageBreakBefore w:val="0"/>
        <w:kinsoku/>
        <w:wordWrap/>
        <w:overflowPunct/>
        <w:topLinePunct w:val="0"/>
        <w:bidi w:val="0"/>
        <w:snapToGrid/>
        <w:spacing w:line="560" w:lineRule="exact"/>
        <w:ind w:firstLine="640" w:firstLineChars="200"/>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2"/>
        <w:keepNext w:val="0"/>
        <w:keepLines w:val="0"/>
        <w:pageBreakBefore w:val="0"/>
        <w:kinsoku/>
        <w:wordWrap/>
        <w:overflowPunct/>
        <w:topLinePunct w:val="0"/>
        <w:bidi w:val="0"/>
        <w:spacing w:line="540" w:lineRule="exact"/>
        <w:textAlignment w:val="auto"/>
        <w:rPr>
          <w:rFonts w:eastAsia="仿宋_GB2312"/>
          <w:snapToGrid w:val="0"/>
          <w:color w:val="auto"/>
          <w:kern w:val="0"/>
          <w:sz w:val="32"/>
          <w:szCs w:val="32"/>
        </w:rPr>
      </w:pPr>
    </w:p>
    <w:p>
      <w:pPr>
        <w:pStyle w:val="13"/>
        <w:rPr>
          <w:rFonts w:hint="eastAsia"/>
          <w:color w:val="auto"/>
          <w:lang w:val="en-US" w:eastAsia="zh-CN"/>
        </w:rPr>
      </w:pPr>
    </w:p>
    <w:p>
      <w:pPr>
        <w:pStyle w:val="13"/>
        <w:rPr>
          <w:rFonts w:hint="eastAsia"/>
          <w:color w:val="auto"/>
          <w:lang w:val="en-US" w:eastAsia="zh-CN"/>
        </w:rPr>
        <w:sectPr>
          <w:footerReference r:id="rId3" w:type="default"/>
          <w:pgSz w:w="11906" w:h="16838"/>
          <w:pgMar w:top="2154" w:right="1531" w:bottom="1701" w:left="1531" w:header="851" w:footer="1474" w:gutter="0"/>
          <w:pgNumType w:fmt="numberInDash"/>
          <w:cols w:space="0" w:num="1"/>
          <w:rtlGutter w:val="0"/>
          <w:docGrid w:type="lines" w:linePitch="319" w:charSpace="0"/>
        </w:sect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pStyle w:val="13"/>
        <w:rPr>
          <w:rFonts w:hint="eastAsia"/>
          <w:color w:val="auto"/>
          <w:lang w:val="en-US" w:eastAsia="zh-CN"/>
        </w:rPr>
      </w:pPr>
    </w:p>
    <w:p>
      <w:pPr>
        <w:spacing w:line="500" w:lineRule="exact"/>
        <w:rPr>
          <w:rFonts w:hint="eastAsia" w:ascii="方正小标宋简体" w:hAnsi="方正小标宋简体" w:eastAsia="黑体" w:cs="方正小标宋简体"/>
          <w:color w:val="auto"/>
          <w:sz w:val="32"/>
          <w:szCs w:val="32"/>
          <w:lang w:eastAsia="zh-CN" w:bidi="ar"/>
        </w:rPr>
      </w:pPr>
      <w:r>
        <w:rPr>
          <w:rFonts w:hint="eastAsia" w:ascii="黑体" w:hAnsi="宋体" w:eastAsia="黑体" w:cs="黑体"/>
          <w:color w:val="auto"/>
          <w:sz w:val="32"/>
          <w:szCs w:val="32"/>
          <w:lang w:bidi="ar"/>
        </w:rPr>
        <w:t>公开方式：</w:t>
      </w:r>
      <w:r>
        <w:rPr>
          <w:rFonts w:hint="eastAsia" w:ascii="黑体" w:hAnsi="宋体" w:eastAsia="黑体" w:cs="黑体"/>
          <w:color w:val="auto"/>
          <w:sz w:val="32"/>
          <w:szCs w:val="32"/>
          <w:lang w:eastAsia="zh-CN" w:bidi="ar"/>
        </w:rPr>
        <w:t>主动公开</w:t>
      </w:r>
    </w:p>
    <w:p>
      <w:pPr>
        <w:pStyle w:val="13"/>
        <w:rPr>
          <w:rFonts w:hint="eastAsia"/>
          <w:color w:val="auto"/>
        </w:rPr>
      </w:pPr>
    </w:p>
    <w:p>
      <w:pPr>
        <w:spacing w:line="500" w:lineRule="exact"/>
        <w:ind w:firstLine="210" w:firstLineChars="100"/>
        <w:rPr>
          <w:rFonts w:hint="eastAsia"/>
          <w:color w:val="auto"/>
          <w:lang w:val="en-US" w:eastAsia="zh-CN"/>
        </w:rPr>
      </w:pPr>
      <w:r>
        <w:rPr>
          <w:color w:val="auto"/>
          <w:szCs w:val="22"/>
          <w:lang w:bidi="ar"/>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363220</wp:posOffset>
                </wp:positionV>
                <wp:extent cx="5760085"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0085" cy="95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5pt;margin-top:28.6pt;height:0.75pt;width:453.55pt;z-index:251659264;mso-width-relative:page;mso-height-relative:page;" filled="f" stroked="t" coordsize="21600,21600" o:gfxdata="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PF31gAAAAcBAAAPAAAA&#10;AAAAAAEAIAAAACIAAABkcnMvZG93bnJldi54bWxQSwECFAAUAAAACACHTuJAj9NzH94BAACnAwAA&#10;DgAAAAAAAAABACAAAAAlAQAAZHJzL2Uyb0RvYy54bWxQSwUGAAAAAAYABgBZAQAAdQUAAAAA&#10;">
                <v:fill on="f" focussize="0,0"/>
                <v:stroke color="#000000" joinstyle="round"/>
                <v:imagedata o:title=""/>
                <o:lock v:ext="edit" aspectratio="f"/>
              </v:line>
            </w:pict>
          </mc:Fallback>
        </mc:AlternateContent>
      </w:r>
      <w:r>
        <w:rPr>
          <w:color w:val="auto"/>
          <w:szCs w:val="22"/>
          <w:lang w:bidi="ar"/>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12065</wp:posOffset>
                </wp:positionV>
                <wp:extent cx="5760085" cy="952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95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0.95pt;height:0.75pt;width:453.55pt;z-index:251660288;mso-width-relative:page;mso-height-relative:page;" filled="f" stroked="t" coordsize="21600,21600" o:gfxdata="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kQAe3SAAAABQEAAA8AAAAAAAAA&#10;AQAgAAAAIgAAAGRycy9kb3ducmV2LnhtbFBLAQIUABQAAAAIAIdO4kBNAEsf3gEAAKcDAAAOAAAA&#10;AAAAAAEAIAAAACEBAABkcnMvZTJvRG9jLnhtbFBLBQYAAAAABgAGAFkBAABxBQAAAAA=&#10;">
                <v:fill on="f" focussize="0,0"/>
                <v:stroke color="#000000" joinstyle="round"/>
                <v:imagedata o:title=""/>
                <o:lock v:ext="edit" aspectratio="f"/>
              </v:line>
            </w:pict>
          </mc:Fallback>
        </mc:AlternateContent>
      </w:r>
      <w:r>
        <w:rPr>
          <w:rFonts w:hint="eastAsia" w:ascii="仿宋_GB2312" w:eastAsia="仿宋_GB2312" w:cs="仿宋_GB2312"/>
          <w:color w:val="auto"/>
          <w:sz w:val="28"/>
          <w:szCs w:val="28"/>
          <w:lang w:bidi="ar"/>
        </w:rPr>
        <w:t xml:space="preserve">钦州市农业农村局办公室       </w:t>
      </w:r>
      <w:r>
        <w:rPr>
          <w:rFonts w:hint="eastAsia" w:ascii="仿宋_GB2312" w:eastAsia="仿宋_GB2312" w:cs="仿宋_GB2312"/>
          <w:color w:val="auto"/>
          <w:sz w:val="28"/>
          <w:szCs w:val="28"/>
          <w:lang w:val="en-US" w:eastAsia="zh-CN" w:bidi="ar"/>
        </w:rPr>
        <w:t xml:space="preserve"> </w:t>
      </w:r>
      <w:r>
        <w:rPr>
          <w:rFonts w:hint="eastAsia" w:ascii="仿宋_GB2312" w:eastAsia="仿宋_GB2312" w:cs="仿宋_GB2312"/>
          <w:color w:val="auto"/>
          <w:sz w:val="28"/>
          <w:szCs w:val="28"/>
          <w:lang w:bidi="ar"/>
        </w:rPr>
        <w:t xml:space="preserve">      </w:t>
      </w:r>
      <w:r>
        <w:rPr>
          <w:rFonts w:hint="eastAsia" w:ascii="仿宋_GB2312" w:eastAsia="仿宋_GB2312" w:cs="仿宋_GB2312"/>
          <w:color w:val="auto"/>
          <w:sz w:val="28"/>
          <w:szCs w:val="28"/>
          <w:lang w:val="en-US" w:eastAsia="zh-CN" w:bidi="ar"/>
        </w:rPr>
        <w:t xml:space="preserve"> </w:t>
      </w:r>
      <w:r>
        <w:rPr>
          <w:rFonts w:hint="eastAsia" w:ascii="仿宋_GB2312" w:eastAsia="仿宋_GB2312" w:cs="仿宋_GB2312"/>
          <w:color w:val="auto"/>
          <w:sz w:val="28"/>
          <w:szCs w:val="28"/>
          <w:lang w:bidi="ar"/>
        </w:rPr>
        <w:t xml:space="preserve">     20</w:t>
      </w:r>
      <w:r>
        <w:rPr>
          <w:rFonts w:hint="eastAsia" w:ascii="仿宋_GB2312" w:eastAsia="仿宋_GB2312" w:cs="仿宋_GB2312"/>
          <w:color w:val="auto"/>
          <w:sz w:val="28"/>
          <w:szCs w:val="28"/>
          <w:lang w:val="en-US" w:eastAsia="zh-CN" w:bidi="ar"/>
        </w:rPr>
        <w:t>21</w:t>
      </w:r>
      <w:r>
        <w:rPr>
          <w:rFonts w:hint="eastAsia" w:ascii="仿宋_GB2312" w:eastAsia="仿宋_GB2312" w:cs="仿宋_GB2312"/>
          <w:color w:val="auto"/>
          <w:sz w:val="28"/>
          <w:szCs w:val="28"/>
          <w:lang w:bidi="ar"/>
        </w:rPr>
        <w:t>年</w:t>
      </w:r>
      <w:r>
        <w:rPr>
          <w:rFonts w:hint="eastAsia" w:ascii="仿宋_GB2312" w:eastAsia="仿宋_GB2312" w:cs="仿宋_GB2312"/>
          <w:color w:val="auto"/>
          <w:sz w:val="28"/>
          <w:szCs w:val="28"/>
          <w:lang w:val="en-US" w:eastAsia="zh-CN" w:bidi="ar"/>
        </w:rPr>
        <w:t>3</w:t>
      </w:r>
      <w:r>
        <w:rPr>
          <w:rFonts w:hint="eastAsia" w:ascii="仿宋_GB2312" w:eastAsia="仿宋_GB2312" w:cs="仿宋_GB2312"/>
          <w:color w:val="auto"/>
          <w:sz w:val="28"/>
          <w:szCs w:val="28"/>
          <w:lang w:bidi="ar"/>
        </w:rPr>
        <w:t>月</w:t>
      </w:r>
      <w:r>
        <w:rPr>
          <w:rFonts w:hint="eastAsia" w:ascii="仿宋_GB2312" w:eastAsia="仿宋_GB2312" w:cs="仿宋_GB2312"/>
          <w:color w:val="auto"/>
          <w:sz w:val="28"/>
          <w:szCs w:val="28"/>
          <w:lang w:val="en-US" w:eastAsia="zh-CN" w:bidi="ar"/>
        </w:rPr>
        <w:t>25</w:t>
      </w:r>
      <w:r>
        <w:rPr>
          <w:rFonts w:hint="eastAsia" w:ascii="仿宋_GB2312" w:eastAsia="仿宋_GB2312" w:cs="仿宋_GB2312"/>
          <w:color w:val="auto"/>
          <w:sz w:val="28"/>
          <w:szCs w:val="28"/>
          <w:lang w:bidi="ar"/>
        </w:rPr>
        <w:t>日印</w:t>
      </w:r>
      <w:r>
        <w:rPr>
          <w:rFonts w:hint="eastAsia" w:ascii="仿宋_GB2312" w:eastAsia="仿宋_GB2312" w:cs="仿宋_GB2312"/>
          <w:color w:val="auto"/>
          <w:sz w:val="28"/>
          <w:szCs w:val="28"/>
          <w:lang w:eastAsia="zh-CN" w:bidi="ar"/>
        </w:rPr>
        <w:t>发</w:t>
      </w:r>
    </w:p>
    <w:sectPr>
      <w:footerReference r:id="rId4" w:type="default"/>
      <w:pgSz w:w="11906" w:h="16838"/>
      <w:pgMar w:top="2154" w:right="1531" w:bottom="1701" w:left="1531" w:header="851" w:footer="1474"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小标宋">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color w:val="auto"/>
                              <w:sz w:val="28"/>
                              <w:szCs w:val="28"/>
                              <w:lang w:eastAsia="zh-CN"/>
                            </w:rPr>
                            <w:fldChar w:fldCharType="begin"/>
                          </w:r>
                          <w:r>
                            <w:rPr>
                              <w:rFonts w:hint="eastAsia" w:asciiTheme="minorEastAsia" w:hAnsiTheme="minorEastAsia" w:eastAsiaTheme="minorEastAsia" w:cstheme="minorEastAsia"/>
                              <w:color w:val="auto"/>
                              <w:sz w:val="28"/>
                              <w:szCs w:val="28"/>
                              <w:lang w:eastAsia="zh-CN"/>
                            </w:rPr>
                            <w:instrText xml:space="preserve"> PAGE  \* MERGEFORMAT </w:instrText>
                          </w:r>
                          <w:r>
                            <w:rPr>
                              <w:rFonts w:hint="eastAsia" w:asciiTheme="minorEastAsia" w:hAnsiTheme="minorEastAsia" w:eastAsiaTheme="minorEastAsia" w:cstheme="minorEastAsia"/>
                              <w:color w:val="auto"/>
                              <w:sz w:val="28"/>
                              <w:szCs w:val="28"/>
                              <w:lang w:eastAsia="zh-CN"/>
                            </w:rPr>
                            <w:fldChar w:fldCharType="separate"/>
                          </w:r>
                          <w:r>
                            <w:rPr>
                              <w:rFonts w:hint="eastAsia" w:asciiTheme="minorEastAsia" w:hAnsiTheme="minorEastAsia" w:eastAsiaTheme="minorEastAsia" w:cstheme="minorEastAsia"/>
                              <w:color w:val="auto"/>
                              <w:sz w:val="28"/>
                              <w:szCs w:val="28"/>
                              <w:lang w:eastAsia="zh-CN"/>
                            </w:rPr>
                            <w:t>17</w:t>
                          </w:r>
                          <w:r>
                            <w:rPr>
                              <w:rFonts w:hint="eastAsia" w:asciiTheme="minorEastAsia" w:hAnsiTheme="minorEastAsia" w:eastAsiaTheme="minorEastAsia" w:cstheme="minorEastAsia"/>
                              <w:color w:val="auto"/>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color w:val="auto"/>
                        <w:sz w:val="28"/>
                        <w:szCs w:val="28"/>
                        <w:lang w:eastAsia="zh-CN"/>
                      </w:rPr>
                      <w:fldChar w:fldCharType="begin"/>
                    </w:r>
                    <w:r>
                      <w:rPr>
                        <w:rFonts w:hint="eastAsia" w:asciiTheme="minorEastAsia" w:hAnsiTheme="minorEastAsia" w:eastAsiaTheme="minorEastAsia" w:cstheme="minorEastAsia"/>
                        <w:color w:val="auto"/>
                        <w:sz w:val="28"/>
                        <w:szCs w:val="28"/>
                        <w:lang w:eastAsia="zh-CN"/>
                      </w:rPr>
                      <w:instrText xml:space="preserve"> PAGE  \* MERGEFORMAT </w:instrText>
                    </w:r>
                    <w:r>
                      <w:rPr>
                        <w:rFonts w:hint="eastAsia" w:asciiTheme="minorEastAsia" w:hAnsiTheme="minorEastAsia" w:eastAsiaTheme="minorEastAsia" w:cstheme="minorEastAsia"/>
                        <w:color w:val="auto"/>
                        <w:sz w:val="28"/>
                        <w:szCs w:val="28"/>
                        <w:lang w:eastAsia="zh-CN"/>
                      </w:rPr>
                      <w:fldChar w:fldCharType="separate"/>
                    </w:r>
                    <w:r>
                      <w:rPr>
                        <w:rFonts w:hint="eastAsia" w:asciiTheme="minorEastAsia" w:hAnsiTheme="minorEastAsia" w:eastAsiaTheme="minorEastAsia" w:cstheme="minorEastAsia"/>
                        <w:color w:val="auto"/>
                        <w:sz w:val="28"/>
                        <w:szCs w:val="28"/>
                        <w:lang w:eastAsia="zh-CN"/>
                      </w:rPr>
                      <w:t>17</w:t>
                    </w:r>
                    <w:r>
                      <w:rPr>
                        <w:rFonts w:hint="eastAsia" w:asciiTheme="minorEastAsia" w:hAnsiTheme="minorEastAsia" w:eastAsiaTheme="minorEastAsia" w:cstheme="minorEastAsia"/>
                        <w:color w:val="auto"/>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48"/>
    <w:rsid w:val="006A5434"/>
    <w:rsid w:val="009C4B55"/>
    <w:rsid w:val="00D96148"/>
    <w:rsid w:val="00EF5734"/>
    <w:rsid w:val="01772B3F"/>
    <w:rsid w:val="018B6A45"/>
    <w:rsid w:val="01EA0DCB"/>
    <w:rsid w:val="02052132"/>
    <w:rsid w:val="020C62E0"/>
    <w:rsid w:val="025064E6"/>
    <w:rsid w:val="029A10E3"/>
    <w:rsid w:val="02CA151E"/>
    <w:rsid w:val="0302072A"/>
    <w:rsid w:val="04436539"/>
    <w:rsid w:val="0449267E"/>
    <w:rsid w:val="04652CA1"/>
    <w:rsid w:val="047B0416"/>
    <w:rsid w:val="051C3CCB"/>
    <w:rsid w:val="059E6D54"/>
    <w:rsid w:val="05BC5CDB"/>
    <w:rsid w:val="05BC72E3"/>
    <w:rsid w:val="0604376E"/>
    <w:rsid w:val="060D3C3E"/>
    <w:rsid w:val="061D145F"/>
    <w:rsid w:val="06205043"/>
    <w:rsid w:val="065457AB"/>
    <w:rsid w:val="075673CD"/>
    <w:rsid w:val="079609C3"/>
    <w:rsid w:val="07C77907"/>
    <w:rsid w:val="07FC26DE"/>
    <w:rsid w:val="084D51AE"/>
    <w:rsid w:val="0869514A"/>
    <w:rsid w:val="087C622C"/>
    <w:rsid w:val="08AC3E05"/>
    <w:rsid w:val="090E36A8"/>
    <w:rsid w:val="09324E38"/>
    <w:rsid w:val="09C4336E"/>
    <w:rsid w:val="09E77F62"/>
    <w:rsid w:val="09F67018"/>
    <w:rsid w:val="0A1F20DF"/>
    <w:rsid w:val="0A2E0A6A"/>
    <w:rsid w:val="0AC6794C"/>
    <w:rsid w:val="0AD26019"/>
    <w:rsid w:val="0B3C77B9"/>
    <w:rsid w:val="0B3D7273"/>
    <w:rsid w:val="0B5E238A"/>
    <w:rsid w:val="0B8C1681"/>
    <w:rsid w:val="0BF20884"/>
    <w:rsid w:val="0C2023A9"/>
    <w:rsid w:val="0C233499"/>
    <w:rsid w:val="0C2B6018"/>
    <w:rsid w:val="0C4A73E3"/>
    <w:rsid w:val="0C9F2CC5"/>
    <w:rsid w:val="0CED1152"/>
    <w:rsid w:val="0CF67220"/>
    <w:rsid w:val="0CF94717"/>
    <w:rsid w:val="0D1A3499"/>
    <w:rsid w:val="0D1F4965"/>
    <w:rsid w:val="0D2C1895"/>
    <w:rsid w:val="0D5A5DB1"/>
    <w:rsid w:val="0D5C7E02"/>
    <w:rsid w:val="0DCB0747"/>
    <w:rsid w:val="0E19563A"/>
    <w:rsid w:val="0E2246A0"/>
    <w:rsid w:val="0E2B2C70"/>
    <w:rsid w:val="0E316E25"/>
    <w:rsid w:val="0E3C277D"/>
    <w:rsid w:val="0E497B16"/>
    <w:rsid w:val="0E9426F3"/>
    <w:rsid w:val="0EC82012"/>
    <w:rsid w:val="0EE40A42"/>
    <w:rsid w:val="0EF93BF2"/>
    <w:rsid w:val="0F10394C"/>
    <w:rsid w:val="0F390043"/>
    <w:rsid w:val="0F3959E4"/>
    <w:rsid w:val="104A0AB7"/>
    <w:rsid w:val="10975256"/>
    <w:rsid w:val="10A90FE0"/>
    <w:rsid w:val="10D94CB0"/>
    <w:rsid w:val="10E00204"/>
    <w:rsid w:val="1103443F"/>
    <w:rsid w:val="1123433E"/>
    <w:rsid w:val="11504FFF"/>
    <w:rsid w:val="119F152D"/>
    <w:rsid w:val="11F229AE"/>
    <w:rsid w:val="12380625"/>
    <w:rsid w:val="126300B5"/>
    <w:rsid w:val="12817497"/>
    <w:rsid w:val="12DF6C87"/>
    <w:rsid w:val="13112C28"/>
    <w:rsid w:val="134C5411"/>
    <w:rsid w:val="13607A4E"/>
    <w:rsid w:val="139B3A14"/>
    <w:rsid w:val="13C56A38"/>
    <w:rsid w:val="13C65347"/>
    <w:rsid w:val="13DF18F1"/>
    <w:rsid w:val="13FD62A7"/>
    <w:rsid w:val="144C4AD1"/>
    <w:rsid w:val="148B7261"/>
    <w:rsid w:val="1492392B"/>
    <w:rsid w:val="14B558A3"/>
    <w:rsid w:val="14C276A9"/>
    <w:rsid w:val="14EA6217"/>
    <w:rsid w:val="14F42931"/>
    <w:rsid w:val="153E7449"/>
    <w:rsid w:val="15810FA2"/>
    <w:rsid w:val="15A03329"/>
    <w:rsid w:val="163C2EDB"/>
    <w:rsid w:val="16470105"/>
    <w:rsid w:val="1697056E"/>
    <w:rsid w:val="169D74CC"/>
    <w:rsid w:val="16AF6E6B"/>
    <w:rsid w:val="16C050CE"/>
    <w:rsid w:val="172A6345"/>
    <w:rsid w:val="175C2B8E"/>
    <w:rsid w:val="176475C3"/>
    <w:rsid w:val="17840D91"/>
    <w:rsid w:val="17AD45F5"/>
    <w:rsid w:val="17FB4DDF"/>
    <w:rsid w:val="18022CFF"/>
    <w:rsid w:val="181065A2"/>
    <w:rsid w:val="184F44C6"/>
    <w:rsid w:val="18505A24"/>
    <w:rsid w:val="186568BD"/>
    <w:rsid w:val="188A4381"/>
    <w:rsid w:val="189152E6"/>
    <w:rsid w:val="18991EAC"/>
    <w:rsid w:val="18FC5271"/>
    <w:rsid w:val="1987205C"/>
    <w:rsid w:val="19B030B6"/>
    <w:rsid w:val="19CA1E4B"/>
    <w:rsid w:val="1A122693"/>
    <w:rsid w:val="1A2C5031"/>
    <w:rsid w:val="1A6644BD"/>
    <w:rsid w:val="1AAF7F96"/>
    <w:rsid w:val="1B2A2434"/>
    <w:rsid w:val="1B7116DE"/>
    <w:rsid w:val="1B9E00FD"/>
    <w:rsid w:val="1BB32631"/>
    <w:rsid w:val="1BF35DBF"/>
    <w:rsid w:val="1BF725C7"/>
    <w:rsid w:val="1C1D5963"/>
    <w:rsid w:val="1C2503D8"/>
    <w:rsid w:val="1C736C7D"/>
    <w:rsid w:val="1C991E80"/>
    <w:rsid w:val="1CB2381E"/>
    <w:rsid w:val="1D6829AF"/>
    <w:rsid w:val="1DB020EF"/>
    <w:rsid w:val="1DF65494"/>
    <w:rsid w:val="1DFC0C33"/>
    <w:rsid w:val="1E206A64"/>
    <w:rsid w:val="1ECD36AF"/>
    <w:rsid w:val="1EDD0C01"/>
    <w:rsid w:val="1F1165D1"/>
    <w:rsid w:val="1F253527"/>
    <w:rsid w:val="1F2F6FF0"/>
    <w:rsid w:val="1F351A12"/>
    <w:rsid w:val="1F3F467F"/>
    <w:rsid w:val="1FCF6A27"/>
    <w:rsid w:val="1FE318C1"/>
    <w:rsid w:val="1FEB00C1"/>
    <w:rsid w:val="205E13B9"/>
    <w:rsid w:val="20C84DAB"/>
    <w:rsid w:val="21A250D1"/>
    <w:rsid w:val="21D169C4"/>
    <w:rsid w:val="223841CA"/>
    <w:rsid w:val="22745F27"/>
    <w:rsid w:val="22EF01AA"/>
    <w:rsid w:val="22FE59DE"/>
    <w:rsid w:val="2307516E"/>
    <w:rsid w:val="2309561B"/>
    <w:rsid w:val="232409FB"/>
    <w:rsid w:val="232F61AD"/>
    <w:rsid w:val="2339342C"/>
    <w:rsid w:val="236A679D"/>
    <w:rsid w:val="237105E7"/>
    <w:rsid w:val="23E61C85"/>
    <w:rsid w:val="24075FD3"/>
    <w:rsid w:val="24117574"/>
    <w:rsid w:val="24270519"/>
    <w:rsid w:val="244320EA"/>
    <w:rsid w:val="245B42F0"/>
    <w:rsid w:val="24631CCB"/>
    <w:rsid w:val="249F4597"/>
    <w:rsid w:val="24D66C4B"/>
    <w:rsid w:val="24F3459D"/>
    <w:rsid w:val="2517776F"/>
    <w:rsid w:val="25380BDD"/>
    <w:rsid w:val="256D561E"/>
    <w:rsid w:val="25C6322F"/>
    <w:rsid w:val="260C2D03"/>
    <w:rsid w:val="265E5357"/>
    <w:rsid w:val="27D5759D"/>
    <w:rsid w:val="280533E0"/>
    <w:rsid w:val="28352F8C"/>
    <w:rsid w:val="283F7D75"/>
    <w:rsid w:val="28B14731"/>
    <w:rsid w:val="28BE5E74"/>
    <w:rsid w:val="28D92F8A"/>
    <w:rsid w:val="28D94AFF"/>
    <w:rsid w:val="294B4B1B"/>
    <w:rsid w:val="296B0584"/>
    <w:rsid w:val="298E4A81"/>
    <w:rsid w:val="29D037C8"/>
    <w:rsid w:val="2A261B3F"/>
    <w:rsid w:val="2AA635D3"/>
    <w:rsid w:val="2ACF0E5C"/>
    <w:rsid w:val="2AD909EF"/>
    <w:rsid w:val="2B3514DC"/>
    <w:rsid w:val="2B3F22BF"/>
    <w:rsid w:val="2B595C5C"/>
    <w:rsid w:val="2CB03033"/>
    <w:rsid w:val="2D1A3854"/>
    <w:rsid w:val="2D8C08D6"/>
    <w:rsid w:val="2DD35CFA"/>
    <w:rsid w:val="2E0F20F8"/>
    <w:rsid w:val="2E73660E"/>
    <w:rsid w:val="2EA60189"/>
    <w:rsid w:val="2ED14C57"/>
    <w:rsid w:val="2EF8339E"/>
    <w:rsid w:val="2F3F0DAA"/>
    <w:rsid w:val="2F75023D"/>
    <w:rsid w:val="2F830775"/>
    <w:rsid w:val="2F9A7D53"/>
    <w:rsid w:val="2FBB3A27"/>
    <w:rsid w:val="300956DD"/>
    <w:rsid w:val="300A2413"/>
    <w:rsid w:val="3015718B"/>
    <w:rsid w:val="30195F9F"/>
    <w:rsid w:val="304A7170"/>
    <w:rsid w:val="3074381A"/>
    <w:rsid w:val="3089199F"/>
    <w:rsid w:val="30D152C8"/>
    <w:rsid w:val="30EA6E86"/>
    <w:rsid w:val="31587267"/>
    <w:rsid w:val="3181430F"/>
    <w:rsid w:val="319862CA"/>
    <w:rsid w:val="322A7E84"/>
    <w:rsid w:val="32DF4BCA"/>
    <w:rsid w:val="330D38B4"/>
    <w:rsid w:val="33431395"/>
    <w:rsid w:val="337F52B5"/>
    <w:rsid w:val="339217F4"/>
    <w:rsid w:val="33A14F40"/>
    <w:rsid w:val="33A6526E"/>
    <w:rsid w:val="33BE507A"/>
    <w:rsid w:val="33C23D0A"/>
    <w:rsid w:val="33EB24CE"/>
    <w:rsid w:val="34A46F2B"/>
    <w:rsid w:val="34FC1974"/>
    <w:rsid w:val="35080722"/>
    <w:rsid w:val="3559202A"/>
    <w:rsid w:val="357179E8"/>
    <w:rsid w:val="365B3727"/>
    <w:rsid w:val="36965221"/>
    <w:rsid w:val="36AA0325"/>
    <w:rsid w:val="36AE5D8C"/>
    <w:rsid w:val="37135D1F"/>
    <w:rsid w:val="372E067D"/>
    <w:rsid w:val="37315F35"/>
    <w:rsid w:val="37422BAF"/>
    <w:rsid w:val="377C2C13"/>
    <w:rsid w:val="37B359F5"/>
    <w:rsid w:val="37B62B9E"/>
    <w:rsid w:val="38D068C1"/>
    <w:rsid w:val="38D531B9"/>
    <w:rsid w:val="397371BE"/>
    <w:rsid w:val="39C775F2"/>
    <w:rsid w:val="39D9150B"/>
    <w:rsid w:val="3A0E508C"/>
    <w:rsid w:val="3A2130B0"/>
    <w:rsid w:val="3A3C5C28"/>
    <w:rsid w:val="3A500992"/>
    <w:rsid w:val="3A5C4F91"/>
    <w:rsid w:val="3A6027F9"/>
    <w:rsid w:val="3AD75273"/>
    <w:rsid w:val="3B8D5FB6"/>
    <w:rsid w:val="3B933334"/>
    <w:rsid w:val="3C5150CA"/>
    <w:rsid w:val="3CA12526"/>
    <w:rsid w:val="3CD21F1C"/>
    <w:rsid w:val="3CE2701B"/>
    <w:rsid w:val="3CEB24C3"/>
    <w:rsid w:val="3CEF067F"/>
    <w:rsid w:val="3D177C84"/>
    <w:rsid w:val="3D2823F1"/>
    <w:rsid w:val="3D3A49C7"/>
    <w:rsid w:val="3D4B5674"/>
    <w:rsid w:val="3D6423E5"/>
    <w:rsid w:val="3D6D1C1A"/>
    <w:rsid w:val="3D76253E"/>
    <w:rsid w:val="3DBC74FF"/>
    <w:rsid w:val="3E035A05"/>
    <w:rsid w:val="3E430813"/>
    <w:rsid w:val="3E467C35"/>
    <w:rsid w:val="3E93329E"/>
    <w:rsid w:val="3EC47713"/>
    <w:rsid w:val="3F0E22B7"/>
    <w:rsid w:val="3F360CBB"/>
    <w:rsid w:val="3F501B30"/>
    <w:rsid w:val="3FAC3262"/>
    <w:rsid w:val="3FC47D74"/>
    <w:rsid w:val="3FE4341B"/>
    <w:rsid w:val="40016785"/>
    <w:rsid w:val="4004779B"/>
    <w:rsid w:val="4048107F"/>
    <w:rsid w:val="409C3352"/>
    <w:rsid w:val="40EA3307"/>
    <w:rsid w:val="40FD37CD"/>
    <w:rsid w:val="412E2493"/>
    <w:rsid w:val="415D6B58"/>
    <w:rsid w:val="416620AD"/>
    <w:rsid w:val="4168022A"/>
    <w:rsid w:val="428E0795"/>
    <w:rsid w:val="43954AA9"/>
    <w:rsid w:val="43FE6C87"/>
    <w:rsid w:val="44043CBE"/>
    <w:rsid w:val="442B0355"/>
    <w:rsid w:val="442C556F"/>
    <w:rsid w:val="44594EDB"/>
    <w:rsid w:val="44735C91"/>
    <w:rsid w:val="448B2A5A"/>
    <w:rsid w:val="44F422F9"/>
    <w:rsid w:val="44F626A3"/>
    <w:rsid w:val="451F39D4"/>
    <w:rsid w:val="452B36CE"/>
    <w:rsid w:val="453A4842"/>
    <w:rsid w:val="45677F28"/>
    <w:rsid w:val="4579711A"/>
    <w:rsid w:val="45985950"/>
    <w:rsid w:val="46083EA4"/>
    <w:rsid w:val="46241D49"/>
    <w:rsid w:val="46453912"/>
    <w:rsid w:val="464B3A25"/>
    <w:rsid w:val="46682B01"/>
    <w:rsid w:val="46A2304F"/>
    <w:rsid w:val="47055F74"/>
    <w:rsid w:val="47167180"/>
    <w:rsid w:val="473625CA"/>
    <w:rsid w:val="4798777B"/>
    <w:rsid w:val="480D7B17"/>
    <w:rsid w:val="482C56B2"/>
    <w:rsid w:val="487E2E94"/>
    <w:rsid w:val="49661C5F"/>
    <w:rsid w:val="498A699A"/>
    <w:rsid w:val="49DA5147"/>
    <w:rsid w:val="49E21359"/>
    <w:rsid w:val="4A816079"/>
    <w:rsid w:val="4B297985"/>
    <w:rsid w:val="4B8B27D5"/>
    <w:rsid w:val="4B950540"/>
    <w:rsid w:val="4BCB3376"/>
    <w:rsid w:val="4CF6030E"/>
    <w:rsid w:val="4D1E6FD7"/>
    <w:rsid w:val="4DAE56E1"/>
    <w:rsid w:val="4E216397"/>
    <w:rsid w:val="4E486E11"/>
    <w:rsid w:val="4E4B757E"/>
    <w:rsid w:val="4E7C5A9A"/>
    <w:rsid w:val="4EB65FE9"/>
    <w:rsid w:val="4EB94FBA"/>
    <w:rsid w:val="4ED83ECB"/>
    <w:rsid w:val="4EE67E53"/>
    <w:rsid w:val="4F833D8C"/>
    <w:rsid w:val="4FB1736F"/>
    <w:rsid w:val="4FBF3387"/>
    <w:rsid w:val="4FC44ACD"/>
    <w:rsid w:val="5096036F"/>
    <w:rsid w:val="510108D3"/>
    <w:rsid w:val="5126388E"/>
    <w:rsid w:val="517370A1"/>
    <w:rsid w:val="51822C91"/>
    <w:rsid w:val="51C224C6"/>
    <w:rsid w:val="52350B52"/>
    <w:rsid w:val="5277731F"/>
    <w:rsid w:val="52CF39ED"/>
    <w:rsid w:val="52D4677A"/>
    <w:rsid w:val="52F813DF"/>
    <w:rsid w:val="53082108"/>
    <w:rsid w:val="531E76F9"/>
    <w:rsid w:val="53286F36"/>
    <w:rsid w:val="53C72834"/>
    <w:rsid w:val="541A0E1E"/>
    <w:rsid w:val="543C4209"/>
    <w:rsid w:val="54B061A0"/>
    <w:rsid w:val="54E75D04"/>
    <w:rsid w:val="553A266D"/>
    <w:rsid w:val="553E1C93"/>
    <w:rsid w:val="55467717"/>
    <w:rsid w:val="562C0721"/>
    <w:rsid w:val="564B5A86"/>
    <w:rsid w:val="564E713D"/>
    <w:rsid w:val="5691132C"/>
    <w:rsid w:val="56CF01ED"/>
    <w:rsid w:val="57014723"/>
    <w:rsid w:val="5741374C"/>
    <w:rsid w:val="57BD1A55"/>
    <w:rsid w:val="57C90369"/>
    <w:rsid w:val="57CC4C47"/>
    <w:rsid w:val="58850AA3"/>
    <w:rsid w:val="58885608"/>
    <w:rsid w:val="58C434F9"/>
    <w:rsid w:val="58F44E7B"/>
    <w:rsid w:val="5901685F"/>
    <w:rsid w:val="5914718C"/>
    <w:rsid w:val="593636AE"/>
    <w:rsid w:val="594322BD"/>
    <w:rsid w:val="598914D3"/>
    <w:rsid w:val="59BD6402"/>
    <w:rsid w:val="59CE339C"/>
    <w:rsid w:val="59CE61E2"/>
    <w:rsid w:val="59DD1FC5"/>
    <w:rsid w:val="59EE642D"/>
    <w:rsid w:val="5A235A36"/>
    <w:rsid w:val="5A3C14CF"/>
    <w:rsid w:val="5A541BFF"/>
    <w:rsid w:val="5A6F6E6D"/>
    <w:rsid w:val="5AB63B1E"/>
    <w:rsid w:val="5B4E4A8D"/>
    <w:rsid w:val="5B8F14CA"/>
    <w:rsid w:val="5BD74EF3"/>
    <w:rsid w:val="5BF96953"/>
    <w:rsid w:val="5BFF30BD"/>
    <w:rsid w:val="5C7526AA"/>
    <w:rsid w:val="5CDB27E6"/>
    <w:rsid w:val="5D447662"/>
    <w:rsid w:val="5D8330EF"/>
    <w:rsid w:val="5DA801B5"/>
    <w:rsid w:val="5DB07806"/>
    <w:rsid w:val="5E0133CE"/>
    <w:rsid w:val="5FDC772C"/>
    <w:rsid w:val="60277AD0"/>
    <w:rsid w:val="60B64D77"/>
    <w:rsid w:val="60CA64F1"/>
    <w:rsid w:val="60D46A70"/>
    <w:rsid w:val="60D700C5"/>
    <w:rsid w:val="60E2168C"/>
    <w:rsid w:val="61032CF2"/>
    <w:rsid w:val="61377A84"/>
    <w:rsid w:val="616033D3"/>
    <w:rsid w:val="61604652"/>
    <w:rsid w:val="62224DAD"/>
    <w:rsid w:val="6241218A"/>
    <w:rsid w:val="626A5F05"/>
    <w:rsid w:val="629003B2"/>
    <w:rsid w:val="62A96F82"/>
    <w:rsid w:val="62FA4769"/>
    <w:rsid w:val="63047114"/>
    <w:rsid w:val="634B0F08"/>
    <w:rsid w:val="63EE2506"/>
    <w:rsid w:val="646065F0"/>
    <w:rsid w:val="646A6228"/>
    <w:rsid w:val="64737823"/>
    <w:rsid w:val="65384C7C"/>
    <w:rsid w:val="657D4E39"/>
    <w:rsid w:val="658F213E"/>
    <w:rsid w:val="65C42F0B"/>
    <w:rsid w:val="65ED32A4"/>
    <w:rsid w:val="66905267"/>
    <w:rsid w:val="66A51920"/>
    <w:rsid w:val="66B42C18"/>
    <w:rsid w:val="66B77474"/>
    <w:rsid w:val="66BA1874"/>
    <w:rsid w:val="66EE11D0"/>
    <w:rsid w:val="670D2900"/>
    <w:rsid w:val="6715361A"/>
    <w:rsid w:val="678D2268"/>
    <w:rsid w:val="679A494C"/>
    <w:rsid w:val="679F45B3"/>
    <w:rsid w:val="67A7679D"/>
    <w:rsid w:val="67B516F5"/>
    <w:rsid w:val="680A59F3"/>
    <w:rsid w:val="68526FB4"/>
    <w:rsid w:val="68B15963"/>
    <w:rsid w:val="68C8276C"/>
    <w:rsid w:val="693F7966"/>
    <w:rsid w:val="69523E56"/>
    <w:rsid w:val="69580D20"/>
    <w:rsid w:val="69A21AF3"/>
    <w:rsid w:val="69CA799D"/>
    <w:rsid w:val="69D81933"/>
    <w:rsid w:val="69FA41D7"/>
    <w:rsid w:val="6A05515F"/>
    <w:rsid w:val="6A292488"/>
    <w:rsid w:val="6A2E6206"/>
    <w:rsid w:val="6A5600F8"/>
    <w:rsid w:val="6AD608F7"/>
    <w:rsid w:val="6ADD7FF2"/>
    <w:rsid w:val="6AF9275A"/>
    <w:rsid w:val="6B15757D"/>
    <w:rsid w:val="6B614C11"/>
    <w:rsid w:val="6B8C018A"/>
    <w:rsid w:val="6BBF7266"/>
    <w:rsid w:val="6BD82102"/>
    <w:rsid w:val="6C1C1140"/>
    <w:rsid w:val="6C366329"/>
    <w:rsid w:val="6D8D72E9"/>
    <w:rsid w:val="6D935568"/>
    <w:rsid w:val="6DEA6B45"/>
    <w:rsid w:val="6E160C35"/>
    <w:rsid w:val="6E6005A6"/>
    <w:rsid w:val="6E7532B6"/>
    <w:rsid w:val="6F1918B4"/>
    <w:rsid w:val="6F596064"/>
    <w:rsid w:val="6F5F1AC1"/>
    <w:rsid w:val="6F862CC5"/>
    <w:rsid w:val="6FE03AFF"/>
    <w:rsid w:val="701A24AF"/>
    <w:rsid w:val="704120F8"/>
    <w:rsid w:val="715373B4"/>
    <w:rsid w:val="71B5182A"/>
    <w:rsid w:val="71C458DE"/>
    <w:rsid w:val="71D86057"/>
    <w:rsid w:val="71E21021"/>
    <w:rsid w:val="725862B4"/>
    <w:rsid w:val="727F327D"/>
    <w:rsid w:val="728272E1"/>
    <w:rsid w:val="72FB517A"/>
    <w:rsid w:val="737C6C7D"/>
    <w:rsid w:val="73956F47"/>
    <w:rsid w:val="73987CC2"/>
    <w:rsid w:val="73A1771C"/>
    <w:rsid w:val="73E84D23"/>
    <w:rsid w:val="74684EF9"/>
    <w:rsid w:val="747A74AE"/>
    <w:rsid w:val="74AB06AA"/>
    <w:rsid w:val="7520198B"/>
    <w:rsid w:val="758F6C68"/>
    <w:rsid w:val="759D5541"/>
    <w:rsid w:val="75A409C1"/>
    <w:rsid w:val="75BE1F57"/>
    <w:rsid w:val="75D0232B"/>
    <w:rsid w:val="75EA4D76"/>
    <w:rsid w:val="762B7415"/>
    <w:rsid w:val="76A8137E"/>
    <w:rsid w:val="76D408BD"/>
    <w:rsid w:val="77694458"/>
    <w:rsid w:val="776B38DD"/>
    <w:rsid w:val="77A04607"/>
    <w:rsid w:val="77B04C30"/>
    <w:rsid w:val="77EC5997"/>
    <w:rsid w:val="786C2853"/>
    <w:rsid w:val="78CD3C0F"/>
    <w:rsid w:val="7A031511"/>
    <w:rsid w:val="7A8617EE"/>
    <w:rsid w:val="7A8D10E0"/>
    <w:rsid w:val="7AEF3DED"/>
    <w:rsid w:val="7AF15ED8"/>
    <w:rsid w:val="7AF52D44"/>
    <w:rsid w:val="7AFD55A5"/>
    <w:rsid w:val="7B186A2E"/>
    <w:rsid w:val="7B863DD9"/>
    <w:rsid w:val="7BF139E3"/>
    <w:rsid w:val="7C860C7C"/>
    <w:rsid w:val="7CA27BB5"/>
    <w:rsid w:val="7CAD260A"/>
    <w:rsid w:val="7CDD5A7D"/>
    <w:rsid w:val="7CE433FA"/>
    <w:rsid w:val="7D922EB9"/>
    <w:rsid w:val="7D954812"/>
    <w:rsid w:val="7DAB0C2D"/>
    <w:rsid w:val="7DC8070B"/>
    <w:rsid w:val="7E920841"/>
    <w:rsid w:val="7EA71BCD"/>
    <w:rsid w:val="7EAC4E50"/>
    <w:rsid w:val="7EC91595"/>
    <w:rsid w:val="7F4B25B7"/>
    <w:rsid w:val="7FB87C33"/>
    <w:rsid w:val="7FC01E8E"/>
    <w:rsid w:val="7FE24191"/>
    <w:rsid w:val="7FED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仿宋_GBK" w:hAnsi="方正仿宋_GBK" w:eastAsia="方正仿宋_GBK" w:cs="Times New Roman"/>
      <w:color w:val="000000"/>
      <w:sz w:val="24"/>
      <w:lang w:val="en-US" w:eastAsia="zh-CN" w:bidi="ar-SA"/>
    </w:rPr>
  </w:style>
  <w:style w:type="paragraph" w:styleId="3">
    <w:name w:val="annotation text"/>
    <w:basedOn w:val="1"/>
    <w:semiHidden/>
    <w:unhideWhenUsed/>
    <w:qFormat/>
    <w:uiPriority w:val="99"/>
    <w:pPr>
      <w:jc w:val="left"/>
    </w:pPr>
  </w:style>
  <w:style w:type="paragraph" w:styleId="4">
    <w:name w:val="Body Text"/>
    <w:basedOn w:val="1"/>
    <w:unhideWhenUsed/>
    <w:qFormat/>
    <w:uiPriority w:val="99"/>
    <w:pPr>
      <w:spacing w:line="0" w:lineRule="atLeast"/>
    </w:pPr>
    <w:rPr>
      <w:rFonts w:eastAsia="小标宋"/>
      <w:sz w:val="44"/>
      <w:szCs w:val="44"/>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paragraph" w:customStyle="1" w:styleId="13">
    <w:name w:val="正文-公1"/>
    <w:basedOn w:val="1"/>
    <w:qFormat/>
    <w:uiPriority w:val="0"/>
    <w:pPr>
      <w:ind w:firstLine="200" w:firstLineChars="200"/>
      <w:jc w:val="left"/>
    </w:pPr>
    <w:rPr>
      <w:rFonts w:eastAsia="仿宋_GB2312"/>
    </w:rPr>
  </w:style>
  <w:style w:type="character" w:customStyle="1" w:styleId="14">
    <w:name w:val="页脚 Char"/>
    <w:basedOn w:val="10"/>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590</Words>
  <Characters>3369</Characters>
  <Lines>28</Lines>
  <Paragraphs>7</Paragraphs>
  <TotalTime>27</TotalTime>
  <ScaleCrop>false</ScaleCrop>
  <LinksUpToDate>false</LinksUpToDate>
  <CharactersWithSpaces>3952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2020-11-17T02:34:00Z</dcterms:created>
  <dc:creator>江丽海</dc:creator>
  <cp:lastModifiedBy>Administrator</cp:lastModifiedBy>
  <cp:lastPrinted>2021-03-25T02:07:31Z</cp:lastPrinted>
  <dcterms:modified xsi:type="dcterms:W3CDTF">2021-03-25T02:12:35Z</dcterms:modified>
  <dc:title>钦州市农业产业化联席会议办公室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A344E8F5775F486BA7C29B4B5F85C11E</vt:lpwstr>
  </property>
</Properties>
</file>