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autoSpaceDN w:val="0"/>
        <w:spacing w:line="520" w:lineRule="exact"/>
        <w:ind w:firstLine="640"/>
        <w:jc w:val="center"/>
        <w:rPr>
          <w:rFonts w:ascii="黑体" w:hAnsi="宋体" w:eastAsia="黑体" w:cs="宋体"/>
          <w:kern w:val="0"/>
          <w:sz w:val="22"/>
          <w:lang w:val="zh-CN" w:bidi="zh-CN"/>
        </w:rPr>
      </w:pPr>
      <w:r>
        <w:rPr>
          <w:rFonts w:ascii="黑体" w:hAnsi="宋体" w:eastAsia="黑体" w:cs="宋体"/>
          <w:kern w:val="0"/>
          <w:sz w:val="22"/>
          <w:lang w:val="zh-CN" w:bidi="zh-CN"/>
        </w:rPr>
        <w:pict>
          <v:shape id="_x0000_s2050" o:spid="_x0000_s2050" o:spt="202" type="#_x0000_t202" style="position:absolute;left:0pt;margin-left:395pt;margin-top:-23.65pt;height:23.55pt;width:79.9pt;z-index:251660288;mso-width-relative:margin;mso-height-relative:margin;mso-height-percent:200;" stroked="t" coordsize="21600,21600">
            <v:path/>
            <v:fill focussize="0,0"/>
            <v:stroke color="#FFFFFF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>
      <w:pPr>
        <w:shd w:val="clear" w:color="auto" w:fill="FFFFFF"/>
        <w:autoSpaceDE w:val="0"/>
        <w:autoSpaceDN w:val="0"/>
        <w:spacing w:line="520" w:lineRule="exact"/>
        <w:ind w:firstLine="640"/>
        <w:jc w:val="center"/>
        <w:rPr>
          <w:rFonts w:ascii="黑体" w:hAnsi="宋体" w:eastAsia="黑体" w:cs="宋体"/>
          <w:kern w:val="0"/>
          <w:sz w:val="22"/>
          <w:lang w:val="zh-CN" w:bidi="zh-CN"/>
        </w:rPr>
      </w:pPr>
    </w:p>
    <w:p>
      <w:pPr>
        <w:shd w:val="clear" w:color="auto" w:fill="FFFFFF"/>
        <w:autoSpaceDE w:val="0"/>
        <w:autoSpaceDN w:val="0"/>
        <w:spacing w:line="520" w:lineRule="exact"/>
        <w:ind w:firstLine="640"/>
        <w:jc w:val="center"/>
        <w:rPr>
          <w:rFonts w:ascii="黑体" w:hAnsi="宋体" w:eastAsia="黑体" w:cs="宋体"/>
          <w:kern w:val="0"/>
          <w:sz w:val="22"/>
          <w:lang w:val="zh-CN" w:bidi="zh-CN"/>
        </w:rPr>
      </w:pPr>
    </w:p>
    <w:p>
      <w:pPr>
        <w:shd w:val="clear" w:color="auto" w:fill="FFFFFF"/>
        <w:autoSpaceDE w:val="0"/>
        <w:autoSpaceDN w:val="0"/>
        <w:spacing w:line="520" w:lineRule="exact"/>
        <w:ind w:firstLine="640"/>
        <w:jc w:val="center"/>
        <w:rPr>
          <w:rFonts w:ascii="黑体" w:hAnsi="宋体" w:eastAsia="黑体" w:cs="宋体"/>
          <w:kern w:val="0"/>
          <w:sz w:val="22"/>
          <w:lang w:val="zh-CN" w:bidi="zh-CN"/>
        </w:rPr>
      </w:pPr>
    </w:p>
    <w:p>
      <w:pPr>
        <w:shd w:val="clear" w:color="auto" w:fill="FFFFFF"/>
        <w:autoSpaceDE w:val="0"/>
        <w:autoSpaceDN w:val="0"/>
        <w:spacing w:line="520" w:lineRule="exact"/>
        <w:ind w:firstLine="640"/>
        <w:jc w:val="center"/>
        <w:rPr>
          <w:rFonts w:ascii="黑体" w:hAnsi="宋体" w:eastAsia="黑体" w:cs="宋体"/>
          <w:kern w:val="0"/>
          <w:sz w:val="22"/>
          <w:lang w:val="zh-CN" w:bidi="zh-CN"/>
        </w:rPr>
      </w:pPr>
    </w:p>
    <w:p>
      <w:pPr>
        <w:shd w:val="clear" w:color="auto" w:fill="FFFFFF"/>
        <w:autoSpaceDE w:val="0"/>
        <w:autoSpaceDN w:val="0"/>
        <w:spacing w:line="520" w:lineRule="exact"/>
        <w:ind w:firstLine="640"/>
        <w:jc w:val="center"/>
        <w:rPr>
          <w:rFonts w:ascii="黑体" w:hAnsi="宋体" w:eastAsia="黑体" w:cs="宋体"/>
          <w:kern w:val="0"/>
          <w:sz w:val="22"/>
          <w:lang w:val="zh-CN" w:bidi="zh-CN"/>
        </w:rPr>
      </w:pPr>
    </w:p>
    <w:p>
      <w:pPr>
        <w:shd w:val="clear" w:color="auto" w:fill="FFFFFF"/>
        <w:autoSpaceDE w:val="0"/>
        <w:autoSpaceDN w:val="0"/>
        <w:spacing w:line="520" w:lineRule="exact"/>
        <w:ind w:firstLine="640"/>
        <w:jc w:val="center"/>
        <w:rPr>
          <w:rFonts w:ascii="黑体" w:hAnsi="宋体" w:eastAsia="黑体" w:cs="宋体"/>
          <w:kern w:val="0"/>
          <w:sz w:val="22"/>
          <w:lang w:val="zh-CN" w:bidi="zh-CN"/>
        </w:rPr>
      </w:pPr>
    </w:p>
    <w:p>
      <w:pPr>
        <w:shd w:val="clear" w:color="auto" w:fill="FFFFFF"/>
        <w:autoSpaceDE w:val="0"/>
        <w:autoSpaceDN w:val="0"/>
        <w:spacing w:line="600" w:lineRule="exact"/>
        <w:ind w:firstLine="641"/>
        <w:jc w:val="center"/>
        <w:rPr>
          <w:rFonts w:ascii="黑体" w:hAnsi="宋体" w:eastAsia="黑体" w:cs="宋体"/>
          <w:kern w:val="0"/>
          <w:sz w:val="22"/>
          <w:lang w:val="zh-CN" w:bidi="zh-CN"/>
        </w:rPr>
      </w:pPr>
    </w:p>
    <w:p>
      <w:pPr>
        <w:shd w:val="clear" w:color="auto" w:fill="FFFFFF"/>
        <w:autoSpaceDE w:val="0"/>
        <w:autoSpaceDN w:val="0"/>
        <w:spacing w:line="560" w:lineRule="exact"/>
        <w:ind w:firstLine="641"/>
        <w:jc w:val="center"/>
        <w:rPr>
          <w:rFonts w:ascii="黑体" w:hAnsi="宋体" w:eastAsia="黑体" w:cs="宋体"/>
          <w:kern w:val="0"/>
          <w:sz w:val="22"/>
          <w:lang w:val="zh-CN" w:bidi="zh-CN"/>
        </w:rPr>
      </w:pPr>
    </w:p>
    <w:p>
      <w:pPr>
        <w:shd w:val="clear" w:color="auto" w:fill="FFFFFF"/>
        <w:autoSpaceDE w:val="0"/>
        <w:autoSpaceDN w:val="0"/>
        <w:spacing w:line="540" w:lineRule="exact"/>
        <w:jc w:val="center"/>
        <w:rPr>
          <w:rFonts w:ascii="方正仿宋_GBK" w:hAnsi="宋体" w:eastAsia="方正仿宋_GBK" w:cs="宋体"/>
          <w:kern w:val="0"/>
          <w:sz w:val="32"/>
          <w:szCs w:val="32"/>
          <w:lang w:val="zh-CN" w:bidi="zh-CN"/>
        </w:rPr>
      </w:pPr>
      <w:r>
        <w:rPr>
          <w:rFonts w:ascii="方正仿宋_GBK" w:hAnsi="宋体" w:eastAsia="方正仿宋_GBK" w:cs="宋体"/>
          <w:kern w:val="0"/>
          <w:sz w:val="32"/>
          <w:szCs w:val="32"/>
          <w:lang w:val="zh-CN" w:bidi="zh-CN"/>
        </w:rPr>
        <w:t>钦城管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zh-CN" w:bidi="zh-CN"/>
        </w:rPr>
        <w:t>规</w:t>
      </w:r>
      <w:r>
        <w:rPr>
          <w:rFonts w:ascii="方正仿宋_GBK" w:hAnsi="宋体" w:eastAsia="方正仿宋_GBK" w:cs="宋体"/>
          <w:kern w:val="0"/>
          <w:sz w:val="32"/>
          <w:szCs w:val="32"/>
          <w:lang w:val="zh-CN" w:bidi="zh-CN"/>
        </w:rPr>
        <w:t>〔20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zh-CN" w:bidi="zh-CN"/>
        </w:rPr>
        <w:t>20</w:t>
      </w:r>
      <w:r>
        <w:rPr>
          <w:rFonts w:ascii="方正仿宋_GBK" w:hAnsi="宋体" w:eastAsia="方正仿宋_GBK" w:cs="宋体"/>
          <w:kern w:val="0"/>
          <w:sz w:val="32"/>
          <w:szCs w:val="32"/>
          <w:lang w:val="zh-CN" w:bidi="zh-CN"/>
        </w:rPr>
        <w:t>〕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bidi="zh-CN"/>
        </w:rPr>
        <w:t>2</w:t>
      </w:r>
      <w:r>
        <w:rPr>
          <w:rFonts w:ascii="方正仿宋_GBK" w:hAnsi="宋体" w:eastAsia="方正仿宋_GBK" w:cs="宋体"/>
          <w:kern w:val="0"/>
          <w:sz w:val="32"/>
          <w:szCs w:val="32"/>
          <w:lang w:val="zh-CN" w:bidi="zh-CN"/>
        </w:rPr>
        <w:t>号</w:t>
      </w:r>
    </w:p>
    <w:p>
      <w:pPr>
        <w:shd w:val="clear" w:color="auto" w:fill="FFFFFF"/>
        <w:autoSpaceDE w:val="0"/>
        <w:autoSpaceDN w:val="0"/>
        <w:spacing w:line="500" w:lineRule="exact"/>
        <w:ind w:firstLine="879"/>
        <w:jc w:val="center"/>
        <w:rPr>
          <w:rFonts w:ascii="黑体" w:hAnsi="宋体" w:eastAsia="黑体" w:cs="宋体"/>
          <w:kern w:val="0"/>
          <w:sz w:val="44"/>
          <w:lang w:val="zh-CN" w:bidi="zh-CN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钦州市城市管理行政执法局关于印发《关于开展钦州市主城区市容市貌综合整治工作的通告》的通知</w:t>
      </w: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钦南区、钦北区住房和城乡建设局，局属各单位、机关各科室： </w:t>
      </w:r>
    </w:p>
    <w:p>
      <w:pPr>
        <w:ind w:firstLine="64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为及时发现处置和有效遏制市容市貌乱象行为，打造干净、整洁、生态、有序的城市环境，不断提升城市品质和城市形象，结合我市实际，我局制定了《关于开展钦州市主城区市容市貌综合整治工作的通告》，现印发给你们，请认真贯彻执行。 </w:t>
      </w:r>
    </w:p>
    <w:p>
      <w:pPr>
        <w:ind w:firstLine="648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48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48"/>
        <w:rPr>
          <w:rFonts w:ascii="方正仿宋_GBK" w:hAnsi="方正仿宋_GBK" w:eastAsia="方正仿宋_GBK" w:cs="方正仿宋_GBK"/>
          <w:sz w:val="32"/>
          <w:szCs w:val="32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关于开展钦州市主城区市容市貌综合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整治工作的通告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为及时发现处置和有效遏制市容市貌乱象行为，打造干净、整洁、生态、有序的城市环境，进一步提升城市品质和城市形象，</w:t>
      </w:r>
      <w:r>
        <w:rPr>
          <w:rFonts w:ascii="Times New Roman" w:hAnsi="Times New Roman" w:eastAsia="方正仿宋_GBK"/>
          <w:sz w:val="32"/>
          <w:szCs w:val="32"/>
        </w:rPr>
        <w:t>根据《中华人民共和国城乡规划法》《中华人民共和国道路交通安全法》《城市市容和环境卫生管理条例》《钦州市城市市容和环境卫生管理条例》等法律、法规规定，</w:t>
      </w:r>
      <w:r>
        <w:rPr>
          <w:rFonts w:hint="eastAsia" w:ascii="Times New Roman" w:hAnsi="Times New Roman" w:eastAsia="方正仿宋_GBK"/>
          <w:sz w:val="32"/>
          <w:szCs w:val="32"/>
        </w:rPr>
        <w:t>经市人民政府同意，</w:t>
      </w:r>
      <w:r>
        <w:rPr>
          <w:rFonts w:ascii="Times New Roman" w:hAnsi="Times New Roman" w:eastAsia="方正仿宋_GBK"/>
          <w:sz w:val="32"/>
          <w:szCs w:val="32"/>
        </w:rPr>
        <w:t>决定在钦州市主城区范围内开展市容市貌综合整治活动，现将有关事项通告如下：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一、整治内容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（一）严禁车辆违章乱停。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（二）严禁乱丢、乱倒、混装垃圾或随意丢弃大件垃圾。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（三）严禁擅自占用城市道路、桥梁、广场以及其他公共场所从事摆卖、加工、修配、餐饮、表演、促销以及车辆清洗、维修、出租、销售等经营活动，或在道路两侧堆放物料物品。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（四）严禁开设影响城市容貌的机械租卖场、砂石场、二手车场、石材钢材等建材加工销售点、废旧回收摊点等各类场点。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（五）严禁乱涂乱画、擅自设置户外广告或张贴、拉挂其他影响城市容貌的横幅、标语等宣传品。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（六）严禁擅自设置、撤除、占用、挪用公共停车泊位，私开路口或利用道路路缘、隔离带等公共设施修建、搭建垫坡。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（七）严禁乱搭乱建。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（八）严禁车体不洁，运载易散落、流漏、飞扬物品的车辆未采取车体封闭或覆盖措施及车辆泄露、遗撒污染道路。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（九）严禁施工场所不按要求设置围挡、施工现场作业未采取抑尘措施、施工废水外排等施工乱象问题。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（十）严禁违规架设架空线缆、杆架等设施。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（十一）严禁破坏或擅自占用城市绿化。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（十二）严禁违规饲养家禽家畜。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（十三）严禁露天烧烤、焚烧垃圾。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（十四）严禁违规乱排放污水。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（十五）严禁在城市道路和其他公共场所乱晾晒、乱吊挂物品等有碍市容观瞻的行为。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（十六）严禁其他影响市容市貌的行为。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二、存在列入上述整治内容范围问题的单位和个人，请于本通告发布之日起即时自行整改。不按要求整改的，将依法予以处理或处罚，处罚记录统一向社会公开。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三、不遵守本通告，拒绝、阻碍执法人员依法执行公务的，将由公安机关依法追究责任。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四、各机关、单位、商户请自觉遵守城市市容市貌管理要求，严格落实好“门前三包”责任。违反“门前三包”责任规定的，将依法依规处理。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五、本通告自发布之日起施行。</w:t>
      </w:r>
    </w:p>
    <w:p/>
    <w:p>
      <w:pPr>
        <w:ind w:firstLine="4480" w:firstLineChars="14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4800" w:firstLineChars="15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钦州市城市管理行政执法局</w:t>
      </w:r>
    </w:p>
    <w:p>
      <w:pPr>
        <w:ind w:firstLine="5760" w:firstLineChars="18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2020年5月11日</w:t>
      </w: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460" w:lineRule="exact"/>
        <w:rPr>
          <w:rFonts w:hint="eastAsia" w:ascii="方正黑体_GBK" w:hAnsi="仿宋" w:eastAsia="方正黑体_GBK" w:cs="仿宋"/>
          <w:sz w:val="32"/>
          <w:szCs w:val="32"/>
        </w:rPr>
      </w:pPr>
    </w:p>
    <w:p>
      <w:pPr>
        <w:spacing w:line="500" w:lineRule="exact"/>
        <w:rPr>
          <w:rFonts w:ascii="宋体" w:cs="仿宋"/>
        </w:rPr>
      </w:pPr>
      <w:r>
        <w:rPr>
          <w:rFonts w:hint="eastAsia" w:ascii="方正黑体_GBK" w:hAnsi="仿宋" w:eastAsia="方正黑体_GBK" w:cs="仿宋"/>
          <w:sz w:val="32"/>
          <w:szCs w:val="32"/>
        </w:rPr>
        <w:t>信息公开形式：</w:t>
      </w:r>
      <w:r>
        <w:rPr>
          <w:rFonts w:hint="eastAsia" w:ascii="宋体" w:hAnsi="宋体" w:cs="仿宋"/>
          <w:sz w:val="32"/>
          <w:szCs w:val="32"/>
        </w:rPr>
        <w:t>主动公开</w:t>
      </w:r>
    </w:p>
    <w:p>
      <w:pPr>
        <w:pBdr>
          <w:top w:val="single" w:color="auto" w:sz="4" w:space="1"/>
        </w:pBdr>
        <w:spacing w:line="500" w:lineRule="exact"/>
        <w:rPr>
          <w:rFonts w:ascii="方正仿宋_GBK" w:hAnsi="宋体" w:eastAsia="方正仿宋_GBK" w:cs="仿宋"/>
          <w:sz w:val="28"/>
          <w:szCs w:val="28"/>
        </w:rPr>
      </w:pPr>
      <w:r>
        <w:rPr>
          <w:rFonts w:hint="eastAsia" w:ascii="方正仿宋_GBK" w:hAnsi="宋体" w:eastAsia="方正仿宋_GBK" w:cs="仿宋"/>
          <w:sz w:val="28"/>
          <w:szCs w:val="28"/>
        </w:rPr>
        <w:t>抄送：钦南区人民政府、钦北区人民政府，本局办存。</w:t>
      </w:r>
    </w:p>
    <w:p>
      <w:pPr>
        <w:pBdr>
          <w:top w:val="single" w:color="auto" w:sz="4" w:space="1"/>
          <w:bottom w:val="single" w:color="auto" w:sz="4" w:space="4"/>
        </w:pBdr>
        <w:spacing w:line="500" w:lineRule="exact"/>
        <w:rPr>
          <w:rFonts w:ascii="方正仿宋_GBK" w:hAnsi="宋体" w:eastAsia="方正仿宋_GBK" w:cs="仿宋"/>
          <w:sz w:val="28"/>
          <w:szCs w:val="28"/>
        </w:rPr>
      </w:pPr>
      <w:r>
        <w:rPr>
          <w:rFonts w:hint="eastAsia" w:ascii="方正仿宋_GBK" w:hAnsi="宋体" w:eastAsia="方正仿宋_GBK" w:cs="仿宋"/>
          <w:sz w:val="28"/>
          <w:szCs w:val="28"/>
        </w:rPr>
        <w:t>钦州市城市管理行政执法局办公室</w:t>
      </w:r>
      <w:r>
        <w:rPr>
          <w:rFonts w:ascii="方正仿宋_GBK" w:hAnsi="宋体" w:eastAsia="方正仿宋_GBK" w:cs="仿宋"/>
          <w:sz w:val="28"/>
          <w:szCs w:val="28"/>
        </w:rPr>
        <w:t xml:space="preserve">            </w:t>
      </w:r>
      <w:r>
        <w:rPr>
          <w:rFonts w:hint="eastAsia" w:ascii="方正仿宋_GBK" w:hAnsi="宋体" w:eastAsia="方正仿宋_GBK" w:cs="仿宋"/>
          <w:sz w:val="28"/>
          <w:szCs w:val="28"/>
        </w:rPr>
        <w:t xml:space="preserve">  </w:t>
      </w:r>
      <w:r>
        <w:rPr>
          <w:rFonts w:ascii="方正仿宋_GBK" w:hAnsi="宋体" w:eastAsia="方正仿宋_GBK" w:cs="仿宋"/>
          <w:sz w:val="28"/>
          <w:szCs w:val="28"/>
        </w:rPr>
        <w:t xml:space="preserve"> 20</w:t>
      </w:r>
      <w:r>
        <w:rPr>
          <w:rFonts w:hint="eastAsia" w:ascii="方正仿宋_GBK" w:hAnsi="宋体" w:eastAsia="方正仿宋_GBK" w:cs="仿宋"/>
          <w:sz w:val="28"/>
          <w:szCs w:val="28"/>
        </w:rPr>
        <w:t>20年5月12日印发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598"/>
    <w:rsid w:val="00106F4F"/>
    <w:rsid w:val="006E69D5"/>
    <w:rsid w:val="007736E6"/>
    <w:rsid w:val="00FA0598"/>
    <w:rsid w:val="0EAC5FC3"/>
    <w:rsid w:val="28006C36"/>
    <w:rsid w:val="32252544"/>
    <w:rsid w:val="4BD112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2020-05-11T02:38:00Z</dcterms:created>
  <dc:creator>DS</dc:creator>
  <cp:lastModifiedBy>PCDN</cp:lastModifiedBy>
  <cp:lastPrinted>2020-05-12T01:56:00Z</cp:lastPrinted>
  <dcterms:modified xsi:type="dcterms:W3CDTF">2020-05-20T02:27:55Z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