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60" w:lineRule="exact"/>
        <w:ind w:left="0" w:right="0" w:firstLine="0" w:firstLineChars="0"/>
        <w:jc w:val="center"/>
        <w:textAlignment w:val="auto"/>
        <w:rPr>
          <w:rFonts w:hint="eastAsia" w:ascii="方正小标宋_GBK" w:hAnsi="方正小标宋_GBK" w:eastAsia="方正小标宋_GBK" w:cs="方正小标宋_GBK"/>
          <w:sz w:val="44"/>
          <w:szCs w:val="44"/>
        </w:rPr>
      </w:pPr>
      <w:bookmarkStart w:id="0" w:name="_Toc62549406"/>
      <w:bookmarkStart w:id="1" w:name="_Toc80024318"/>
      <w:bookmarkStart w:id="2" w:name="_Toc36630455"/>
      <w:bookmarkStart w:id="3" w:name="_Toc35248313"/>
      <w:bookmarkStart w:id="4" w:name="_Toc29130369"/>
      <w:bookmarkStart w:id="5" w:name="_Toc534375717"/>
      <w:bookmarkStart w:id="6" w:name="_Toc80024326"/>
      <w:r>
        <w:rPr>
          <w:rFonts w:hint="eastAsia" w:ascii="方正小标宋_GBK" w:hAnsi="方正小标宋_GBK" w:eastAsia="方正小标宋_GBK" w:cs="方正小标宋_GBK"/>
          <w:sz w:val="44"/>
          <w:szCs w:val="44"/>
        </w:rPr>
        <w:t>钦州市人民政府办公室关于印发钦州市</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60" w:lineRule="exact"/>
        <w:ind w:left="0" w:right="0" w:firstLine="0" w:firstLineChars="0"/>
        <w:jc w:val="center"/>
        <w:textAlignment w:val="auto"/>
        <w:rPr>
          <w:rFonts w:hint="eastAsia" w:ascii="方正小标宋_GBK" w:hAnsi="方正小标宋_GBK" w:eastAsia="方正小标宋_GBK" w:cs="方正小标宋_GBK"/>
          <w:spacing w:val="-6"/>
          <w:sz w:val="44"/>
          <w:szCs w:val="44"/>
        </w:rPr>
      </w:pPr>
      <w:r>
        <w:rPr>
          <w:rFonts w:hint="eastAsia" w:ascii="方正小标宋_GBK" w:hAnsi="方正小标宋_GBK" w:eastAsia="方正小标宋_GBK" w:cs="方正小标宋_GBK"/>
          <w:spacing w:val="-6"/>
          <w:sz w:val="44"/>
          <w:szCs w:val="44"/>
        </w:rPr>
        <w:t>文化广电体育和旅游发展</w:t>
      </w:r>
      <w:r>
        <w:rPr>
          <w:rFonts w:hint="eastAsia" w:ascii="方正小标宋_GBK" w:hAnsi="方正小标宋_GBK" w:eastAsia="方正小标宋_GBK" w:cs="方正小标宋_GBK"/>
          <w:spacing w:val="-6"/>
          <w:sz w:val="44"/>
          <w:szCs w:val="44"/>
          <w:lang w:eastAsia="zh-CN"/>
        </w:rPr>
        <w:t>“</w:t>
      </w:r>
      <w:r>
        <w:rPr>
          <w:rFonts w:hint="eastAsia" w:ascii="方正小标宋_GBK" w:hAnsi="方正小标宋_GBK" w:eastAsia="方正小标宋_GBK" w:cs="方正小标宋_GBK"/>
          <w:spacing w:val="-6"/>
          <w:sz w:val="44"/>
          <w:szCs w:val="44"/>
        </w:rPr>
        <w:t>十四五</w:t>
      </w:r>
      <w:r>
        <w:rPr>
          <w:rFonts w:hint="eastAsia" w:ascii="方正小标宋_GBK" w:hAnsi="方正小标宋_GBK" w:eastAsia="方正小标宋_GBK" w:cs="方正小标宋_GBK"/>
          <w:spacing w:val="-6"/>
          <w:sz w:val="44"/>
          <w:szCs w:val="44"/>
          <w:lang w:eastAsia="zh-CN"/>
        </w:rPr>
        <w:t>”</w:t>
      </w:r>
      <w:r>
        <w:rPr>
          <w:rFonts w:hint="eastAsia" w:ascii="方正小标宋_GBK" w:hAnsi="方正小标宋_GBK" w:eastAsia="方正小标宋_GBK" w:cs="方正小标宋_GBK"/>
          <w:spacing w:val="-6"/>
          <w:sz w:val="44"/>
          <w:szCs w:val="44"/>
        </w:rPr>
        <w:t>规划</w:t>
      </w:r>
      <w:r>
        <w:rPr>
          <w:rFonts w:hint="eastAsia" w:ascii="方正小标宋_GBK" w:hAnsi="方正小标宋_GBK" w:eastAsia="方正小标宋_GBK" w:cs="方正小标宋_GBK"/>
          <w:spacing w:val="-6"/>
          <w:sz w:val="44"/>
          <w:szCs w:val="44"/>
          <w:lang w:eastAsia="zh-CN"/>
        </w:rPr>
        <w:t>的</w:t>
      </w:r>
      <w:r>
        <w:rPr>
          <w:rFonts w:hint="eastAsia" w:ascii="方正小标宋_GBK" w:hAnsi="方正小标宋_GBK" w:eastAsia="方正小标宋_GBK" w:cs="方正小标宋_GBK"/>
          <w:spacing w:val="-6"/>
          <w:sz w:val="44"/>
          <w:szCs w:val="44"/>
        </w:rPr>
        <w:t>通知</w:t>
      </w:r>
    </w:p>
    <w:p>
      <w:pPr>
        <w:keepNext w:val="0"/>
        <w:keepLines w:val="0"/>
        <w:pageBreakBefore w:val="0"/>
        <w:widowControl w:val="0"/>
        <w:kinsoku/>
        <w:wordWrap/>
        <w:overflowPunct/>
        <w:topLinePunct w:val="0"/>
        <w:autoSpaceDE/>
        <w:autoSpaceDN/>
        <w:bidi w:val="0"/>
        <w:adjustRightInd/>
        <w:snapToGrid/>
        <w:spacing w:line="580" w:lineRule="exact"/>
      </w:pP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0" w:firstLineChars="0"/>
        <w:jc w:val="center"/>
        <w:textAlignment w:val="auto"/>
        <w:outlineLvl w:val="9"/>
        <w:rPr>
          <w:rFonts w:hint="eastAsia" w:ascii="方正仿宋_GBK" w:hAnsi="方正仿宋_GBK" w:eastAsia="方正仿宋_GBK"/>
          <w:color w:val="000000"/>
          <w:spacing w:val="0"/>
          <w:sz w:val="32"/>
          <w:lang w:eastAsia="zh-CN"/>
        </w:rPr>
      </w:pPr>
      <w:r>
        <w:rPr>
          <w:rFonts w:hint="default" w:ascii="Times New Roman" w:hAnsi="Times New Roman" w:eastAsia="方正仿宋_GBK" w:cs="Times New Roman"/>
          <w:color w:val="000000"/>
          <w:spacing w:val="0"/>
          <w:sz w:val="32"/>
          <w:lang w:eastAsia="zh-CN"/>
        </w:rPr>
        <w:t>钦政</w:t>
      </w:r>
      <w:r>
        <w:rPr>
          <w:rFonts w:hint="eastAsia" w:ascii="Times New Roman" w:hAnsi="Times New Roman" w:eastAsia="方正仿宋_GBK" w:cs="Times New Roman"/>
          <w:color w:val="000000"/>
          <w:spacing w:val="0"/>
          <w:sz w:val="32"/>
          <w:lang w:eastAsia="zh-CN"/>
        </w:rPr>
        <w:t>办</w:t>
      </w:r>
      <w:r>
        <w:rPr>
          <w:rFonts w:hint="default" w:ascii="Times New Roman" w:hAnsi="Times New Roman" w:eastAsia="方正仿宋_GBK" w:cs="Times New Roman"/>
          <w:color w:val="000000"/>
          <w:spacing w:val="0"/>
          <w:sz w:val="32"/>
          <w:lang w:eastAsia="zh-CN"/>
        </w:rPr>
        <w:t>〔</w:t>
      </w:r>
      <w:r>
        <w:rPr>
          <w:rFonts w:hint="default" w:ascii="Times New Roman" w:hAnsi="Times New Roman" w:eastAsia="方正仿宋_GBK" w:cs="Times New Roman"/>
          <w:color w:val="000000"/>
          <w:spacing w:val="0"/>
          <w:sz w:val="32"/>
          <w:lang w:val="en-US" w:eastAsia="zh-CN"/>
        </w:rPr>
        <w:t>2022</w:t>
      </w:r>
      <w:r>
        <w:rPr>
          <w:rFonts w:hint="default" w:ascii="Times New Roman" w:hAnsi="Times New Roman" w:eastAsia="方正仿宋_GBK" w:cs="Times New Roman"/>
          <w:color w:val="000000"/>
          <w:spacing w:val="0"/>
          <w:sz w:val="32"/>
          <w:lang w:eastAsia="zh-CN"/>
        </w:rPr>
        <w:t>〕</w:t>
      </w:r>
      <w:r>
        <w:rPr>
          <w:rFonts w:hint="eastAsia" w:ascii="Times New Roman" w:hAnsi="Times New Roman" w:eastAsia="方正仿宋_GBK" w:cs="Times New Roman"/>
          <w:color w:val="000000"/>
          <w:spacing w:val="0"/>
          <w:sz w:val="32"/>
          <w:lang w:val="en-US" w:eastAsia="zh-CN"/>
        </w:rPr>
        <w:t>3</w:t>
      </w:r>
      <w:r>
        <w:rPr>
          <w:rFonts w:hint="default" w:ascii="Times New Roman" w:hAnsi="Times New Roman" w:eastAsia="方正仿宋_GBK" w:cs="Times New Roman"/>
          <w:color w:val="000000"/>
          <w:spacing w:val="0"/>
          <w:sz w:val="32"/>
          <w:lang w:eastAsia="zh-CN"/>
        </w:rPr>
        <w:t>号</w:t>
      </w:r>
    </w:p>
    <w:p>
      <w:pPr>
        <w:pStyle w:val="2"/>
      </w:pPr>
    </w:p>
    <w:p>
      <w:pPr>
        <w:pStyle w:val="2"/>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left="0" w:leftChars="0" w:firstLine="0" w:firstLineChars="0"/>
        <w:jc w:val="both"/>
        <w:textAlignment w:val="baseline"/>
        <w:rPr>
          <w:rStyle w:val="39"/>
          <w:rFonts w:hint="default" w:ascii="Times New Roman" w:hAnsi="Times New Roman" w:eastAsia="方正仿宋_GBK" w:cs="Times New Roman"/>
          <w:b w:val="0"/>
          <w:i w:val="0"/>
          <w:caps w:val="0"/>
          <w:color w:val="auto"/>
          <w:spacing w:val="0"/>
          <w:w w:val="100"/>
          <w:kern w:val="2"/>
          <w:sz w:val="32"/>
          <w:szCs w:val="32"/>
          <w:lang w:val="en-US" w:eastAsia="zh-CN" w:bidi="ar-SA"/>
        </w:rPr>
      </w:pPr>
      <w:r>
        <w:rPr>
          <w:rStyle w:val="39"/>
          <w:rFonts w:hint="default" w:ascii="Times New Roman" w:hAnsi="Times New Roman" w:eastAsia="方正仿宋_GBK" w:cs="Times New Roman"/>
          <w:b w:val="0"/>
          <w:i w:val="0"/>
          <w:caps w:val="0"/>
          <w:color w:val="auto"/>
          <w:spacing w:val="0"/>
          <w:w w:val="100"/>
          <w:kern w:val="2"/>
          <w:sz w:val="32"/>
          <w:szCs w:val="32"/>
          <w:lang w:val="en-US" w:eastAsia="zh-CN" w:bidi="ar-SA"/>
        </w:rPr>
        <w:t>各县</w:t>
      </w:r>
      <w:r>
        <w:rPr>
          <w:rStyle w:val="39"/>
          <w:rFonts w:hint="eastAsia" w:eastAsia="方正仿宋_GBK" w:cs="Times New Roman"/>
          <w:b w:val="0"/>
          <w:i w:val="0"/>
          <w:caps w:val="0"/>
          <w:color w:val="auto"/>
          <w:spacing w:val="0"/>
          <w:w w:val="100"/>
          <w:kern w:val="2"/>
          <w:sz w:val="32"/>
          <w:szCs w:val="32"/>
          <w:lang w:val="en-US" w:eastAsia="zh-CN" w:bidi="ar-SA"/>
        </w:rPr>
        <w:t>、</w:t>
      </w:r>
      <w:r>
        <w:rPr>
          <w:rStyle w:val="39"/>
          <w:rFonts w:hint="default" w:ascii="Times New Roman" w:hAnsi="Times New Roman" w:eastAsia="方正仿宋_GBK" w:cs="Times New Roman"/>
          <w:b w:val="0"/>
          <w:i w:val="0"/>
          <w:caps w:val="0"/>
          <w:color w:val="auto"/>
          <w:spacing w:val="0"/>
          <w:w w:val="100"/>
          <w:kern w:val="2"/>
          <w:sz w:val="32"/>
          <w:szCs w:val="32"/>
          <w:lang w:val="en-US" w:eastAsia="zh-CN" w:bidi="ar-SA"/>
        </w:rPr>
        <w:t>区人民政府，各开发区、管理区管委，市直</w:t>
      </w:r>
      <w:r>
        <w:rPr>
          <w:rStyle w:val="39"/>
          <w:rFonts w:hint="eastAsia" w:eastAsia="方正仿宋_GBK" w:cs="Times New Roman"/>
          <w:b w:val="0"/>
          <w:i w:val="0"/>
          <w:caps w:val="0"/>
          <w:color w:val="auto"/>
          <w:spacing w:val="0"/>
          <w:w w:val="100"/>
          <w:kern w:val="2"/>
          <w:sz w:val="32"/>
          <w:szCs w:val="32"/>
          <w:lang w:val="en-US" w:eastAsia="zh-CN" w:bidi="ar-SA"/>
        </w:rPr>
        <w:t>各委、办、局</w:t>
      </w:r>
      <w:r>
        <w:rPr>
          <w:rStyle w:val="39"/>
          <w:rFonts w:hint="default" w:ascii="Times New Roman" w:hAnsi="Times New Roman" w:eastAsia="方正仿宋_GBK" w:cs="Times New Roman"/>
          <w:b w:val="0"/>
          <w:i w:val="0"/>
          <w:caps w:val="0"/>
          <w:color w:val="auto"/>
          <w:spacing w:val="0"/>
          <w:w w:val="10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baseline"/>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r>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t>经市人民政府同意，现将《钦州市文化广电体育和旅游发展“十四五”规划》印发给你们，请认真组织实施。</w:t>
      </w:r>
    </w:p>
    <w:p>
      <w:pPr>
        <w:pStyle w:val="2"/>
        <w:keepNext w:val="0"/>
        <w:keepLines w:val="0"/>
        <w:pageBreakBefore w:val="0"/>
        <w:widowControl w:val="0"/>
        <w:kinsoku/>
        <w:wordWrap/>
        <w:overflowPunct/>
        <w:topLinePunct w:val="0"/>
        <w:bidi w:val="0"/>
        <w:snapToGrid/>
        <w:spacing w:line="580" w:lineRule="exact"/>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bidi w:val="0"/>
        <w:snapToGrid/>
        <w:spacing w:line="580" w:lineRule="exact"/>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wordWrap w:val="0"/>
        <w:jc w:val="right"/>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r>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t>2022年1月28日　　　　</w:t>
      </w: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500" w:lineRule="exact"/>
        <w:ind w:firstLine="640" w:firstLineChars="200"/>
        <w:textAlignment w:val="auto"/>
        <w:rPr>
          <w:rStyle w:val="39"/>
          <w:rFonts w:hint="eastAsia" w:ascii="Times New Roman" w:hAnsi="Times New Roman" w:eastAsia="方正仿宋_GBK" w:cs="Times New Roman"/>
          <w:b w:val="0"/>
          <w:i w:val="0"/>
          <w:caps w:val="0"/>
          <w:color w:val="auto"/>
          <w:spacing w:val="0"/>
          <w:w w:val="1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pPr>
      <w:bookmarkStart w:id="877" w:name="_GoBack"/>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钦州市文化广电体育和旅游发展</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t>“</w:t>
      </w:r>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十四五</w:t>
      </w:r>
      <w:r>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t>”</w:t>
      </w:r>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规划</w:t>
      </w:r>
    </w:p>
    <w:bookmarkEnd w:id="877"/>
    <w:p>
      <w:pPr>
        <w:ind w:firstLine="0" w:firstLineChars="0"/>
        <w:jc w:val="center"/>
        <w:rPr>
          <w:rFonts w:hint="default" w:ascii="Times New Roman" w:hAnsi="Times New Roman" w:eastAsia="黑体" w:cs="Times New Roman"/>
          <w:b w:val="0"/>
          <w:bCs w:val="0"/>
          <w:color w:val="000000" w:themeColor="text1"/>
          <w:sz w:val="44"/>
          <w:szCs w:val="44"/>
          <w:highlight w:val="none"/>
          <w14:textFill>
            <w14:solidFill>
              <w14:schemeClr w14:val="tx1"/>
            </w14:solidFill>
          </w14:textFill>
        </w:rPr>
      </w:pPr>
    </w:p>
    <w:p>
      <w:pPr>
        <w:ind w:firstLine="0" w:firstLineChars="0"/>
        <w:jc w:val="center"/>
        <w:rPr>
          <w:rFonts w:hint="eastAsia" w:ascii="方正黑体_GBK" w:hAnsi="方正黑体_GBK" w:eastAsia="方正黑体_GBK" w:cs="方正黑体_GBK"/>
          <w:b w:val="0"/>
          <w:bCs w:val="0"/>
          <w:color w:val="000000" w:themeColor="text1"/>
          <w:sz w:val="40"/>
          <w:szCs w:val="40"/>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 w:val="40"/>
          <w:szCs w:val="40"/>
          <w:highlight w:val="none"/>
          <w14:textFill>
            <w14:solidFill>
              <w14:schemeClr w14:val="tx1"/>
            </w14:solidFill>
          </w14:textFill>
        </w:rPr>
        <w:t>目  录</w:t>
      </w:r>
    </w:p>
    <w:p>
      <w:pPr>
        <w:ind w:firstLine="0" w:firstLineChars="0"/>
        <w:rPr>
          <w:rFonts w:ascii="Times New Roman" w:hAnsi="Times New Roman" w:eastAsia="黑体" w:cs="Times New Roman"/>
          <w:color w:val="000000" w:themeColor="text1"/>
          <w:sz w:val="24"/>
          <w:szCs w:val="24"/>
          <w:highlight w:val="none"/>
          <w14:textFill>
            <w14:solidFill>
              <w14:schemeClr w14:val="tx1"/>
            </w14:solidFill>
          </w14:textFill>
        </w:rPr>
      </w:pP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ascii="Times New Roman" w:hAnsi="Times New Roman" w:cs="Times New Roman"/>
          <w:color w:val="000000" w:themeColor="text1"/>
          <w:sz w:val="28"/>
          <w:szCs w:val="28"/>
          <w:highlight w:val="none"/>
          <w14:textFill>
            <w14:solidFill>
              <w14:schemeClr w14:val="tx1"/>
            </w14:solidFill>
          </w14:textFill>
        </w:rPr>
        <w:fldChar w:fldCharType="begin"/>
      </w:r>
      <w:r>
        <w:rPr>
          <w:rFonts w:ascii="Times New Roman" w:hAnsi="Times New Roman" w:cs="Times New Roman"/>
          <w:color w:val="000000" w:themeColor="text1"/>
          <w:sz w:val="28"/>
          <w:szCs w:val="28"/>
          <w:highlight w:val="none"/>
          <w14:textFill>
            <w14:solidFill>
              <w14:schemeClr w14:val="tx1"/>
            </w14:solidFill>
          </w14:textFill>
        </w:rPr>
        <w:instrText xml:space="preserve">TOC \o "1-3" \n  \h \u </w:instrText>
      </w:r>
      <w:r>
        <w:rPr>
          <w:rFonts w:ascii="Times New Roman" w:hAnsi="Times New Roman" w:cs="Times New Roman"/>
          <w:color w:val="000000" w:themeColor="text1"/>
          <w:sz w:val="28"/>
          <w:szCs w:val="28"/>
          <w:highlight w:val="none"/>
          <w14:textFill>
            <w14:solidFill>
              <w14:schemeClr w14:val="tx1"/>
            </w14:solidFill>
          </w14:textFill>
        </w:rPr>
        <w:fldChar w:fldCharType="separate"/>
      </w: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begin"/>
      </w:r>
      <w:r>
        <w:rPr>
          <w:rFonts w:hint="eastAsia" w:ascii="方正小标宋_GBK" w:hAnsi="方正小标宋_GBK" w:eastAsia="方正小标宋_GBK" w:cs="方正小标宋_GBK"/>
          <w:sz w:val="28"/>
          <w:szCs w:val="28"/>
          <w:highlight w:val="none"/>
        </w:rPr>
        <w:instrText xml:space="preserve"> HYPERLINK \l _Toc96721699 </w:instrText>
      </w:r>
      <w:r>
        <w:rPr>
          <w:rFonts w:hint="eastAsia" w:ascii="方正小标宋_GBK" w:hAnsi="方正小标宋_GBK" w:eastAsia="方正小标宋_GBK" w:cs="方正小标宋_GBK"/>
          <w:sz w:val="28"/>
          <w:szCs w:val="28"/>
          <w:highlight w:val="none"/>
        </w:rPr>
        <w:fldChar w:fldCharType="separate"/>
      </w:r>
      <w:r>
        <w:rPr>
          <w:rFonts w:hint="eastAsia" w:ascii="方正小标宋_GBK" w:hAnsi="方正小标宋_GBK" w:eastAsia="方正小标宋_GBK" w:cs="方正小标宋_GBK"/>
          <w:bCs/>
          <w:sz w:val="28"/>
          <w:szCs w:val="28"/>
          <w:highlight w:val="none"/>
        </w:rPr>
        <w:t>前 言</w:t>
      </w: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小标宋_GBK" w:hAnsi="方正小标宋_GBK" w:eastAsia="方正小标宋_GBK" w:cs="方正小标宋_GBK"/>
          <w:sz w:val="28"/>
          <w:szCs w:val="28"/>
        </w:rPr>
      </w:pP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begin"/>
      </w:r>
      <w:r>
        <w:rPr>
          <w:rFonts w:hint="eastAsia" w:ascii="方正小标宋_GBK" w:hAnsi="方正小标宋_GBK" w:eastAsia="方正小标宋_GBK" w:cs="方正小标宋_GBK"/>
          <w:sz w:val="28"/>
          <w:szCs w:val="28"/>
          <w:highlight w:val="none"/>
        </w:rPr>
        <w:instrText xml:space="preserve"> HYPERLINK \l _Toc62217666 </w:instrText>
      </w:r>
      <w:r>
        <w:rPr>
          <w:rFonts w:hint="eastAsia" w:ascii="方正小标宋_GBK" w:hAnsi="方正小标宋_GBK" w:eastAsia="方正小标宋_GBK" w:cs="方正小标宋_GBK"/>
          <w:sz w:val="28"/>
          <w:szCs w:val="28"/>
          <w:highlight w:val="none"/>
        </w:rPr>
        <w:fldChar w:fldCharType="separate"/>
      </w:r>
      <w:r>
        <w:rPr>
          <w:rFonts w:hint="eastAsia" w:ascii="方正小标宋_GBK" w:hAnsi="方正小标宋_GBK" w:eastAsia="方正小标宋_GBK" w:cs="方正小标宋_GBK"/>
          <w:bCs w:val="0"/>
          <w:sz w:val="28"/>
          <w:szCs w:val="28"/>
          <w:highlight w:val="none"/>
        </w:rPr>
        <w:t>第一章  发展基础与发展环境</w:t>
      </w: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_Toc1176752664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一、</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十三五</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发展回顾</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简体" w:hAnsi="方正楷体简体" w:eastAsia="方正楷体简体" w:cs="方正楷体简体"/>
          <w:sz w:val="28"/>
          <w:szCs w:val="28"/>
        </w:rPr>
      </w:pPr>
      <w:r>
        <w:rPr>
          <w:rFonts w:hint="eastAsia" w:ascii="方正楷体简体" w:hAnsi="方正楷体简体" w:eastAsia="方正楷体简体" w:cs="方正楷体简体"/>
          <w:color w:val="000000" w:themeColor="text1"/>
          <w:sz w:val="28"/>
          <w:szCs w:val="28"/>
          <w:highlight w:val="none"/>
          <w14:textFill>
            <w14:solidFill>
              <w14:schemeClr w14:val="tx1"/>
            </w14:solidFill>
          </w14:textFill>
        </w:rPr>
        <w:fldChar w:fldCharType="begin"/>
      </w:r>
      <w:r>
        <w:rPr>
          <w:rFonts w:hint="eastAsia" w:ascii="方正楷体简体" w:hAnsi="方正楷体简体" w:eastAsia="方正楷体简体" w:cs="方正楷体简体"/>
          <w:sz w:val="28"/>
          <w:szCs w:val="28"/>
          <w:highlight w:val="none"/>
        </w:rPr>
        <w:instrText xml:space="preserve"> HYPERLINK \l _Toc538683925 </w:instrText>
      </w:r>
      <w:r>
        <w:rPr>
          <w:rFonts w:hint="eastAsia" w:ascii="方正楷体简体" w:hAnsi="方正楷体简体" w:eastAsia="方正楷体简体" w:cs="方正楷体简体"/>
          <w:sz w:val="28"/>
          <w:szCs w:val="28"/>
          <w:highlight w:val="none"/>
        </w:rPr>
        <w:fldChar w:fldCharType="separate"/>
      </w:r>
      <w:r>
        <w:rPr>
          <w:rFonts w:hint="eastAsia" w:ascii="方正楷体简体" w:hAnsi="方正楷体简体" w:eastAsia="方正楷体简体" w:cs="方正楷体简体"/>
          <w:bCs w:val="0"/>
          <w:sz w:val="28"/>
          <w:szCs w:val="28"/>
          <w:highlight w:val="none"/>
        </w:rPr>
        <w:t>（一）发展成就</w:t>
      </w:r>
      <w:r>
        <w:rPr>
          <w:rFonts w:hint="eastAsia" w:ascii="方正楷体简体" w:hAnsi="方正楷体简体" w:eastAsia="方正楷体简体" w:cs="方正楷体简体"/>
          <w:bCs w:val="0"/>
          <w:sz w:val="28"/>
          <w:szCs w:val="28"/>
          <w:highlight w:val="none"/>
          <w:lang w:eastAsia="zh-CN"/>
        </w:rPr>
        <w:t>。</w:t>
      </w:r>
      <w:r>
        <w:rPr>
          <w:rFonts w:hint="eastAsia" w:ascii="方正楷体简体" w:hAnsi="方正楷体简体" w:eastAsia="方正楷体简体" w:cs="方正楷体简体"/>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简体" w:hAnsi="方正楷体简体" w:eastAsia="方正楷体简体" w:cs="方正楷体简体"/>
          <w:sz w:val="28"/>
          <w:szCs w:val="28"/>
        </w:rPr>
      </w:pPr>
      <w:r>
        <w:rPr>
          <w:rFonts w:hint="eastAsia" w:ascii="方正楷体简体" w:hAnsi="方正楷体简体" w:eastAsia="方正楷体简体" w:cs="方正楷体简体"/>
          <w:color w:val="000000" w:themeColor="text1"/>
          <w:sz w:val="28"/>
          <w:szCs w:val="28"/>
          <w:highlight w:val="none"/>
          <w14:textFill>
            <w14:solidFill>
              <w14:schemeClr w14:val="tx1"/>
            </w14:solidFill>
          </w14:textFill>
        </w:rPr>
        <w:fldChar w:fldCharType="begin"/>
      </w:r>
      <w:r>
        <w:rPr>
          <w:rFonts w:hint="eastAsia" w:ascii="方正楷体简体" w:hAnsi="方正楷体简体" w:eastAsia="方正楷体简体" w:cs="方正楷体简体"/>
          <w:sz w:val="28"/>
          <w:szCs w:val="28"/>
          <w:highlight w:val="none"/>
        </w:rPr>
        <w:instrText xml:space="preserve"> HYPERLINK \l _Toc542878421 </w:instrText>
      </w:r>
      <w:r>
        <w:rPr>
          <w:rFonts w:hint="eastAsia" w:ascii="方正楷体简体" w:hAnsi="方正楷体简体" w:eastAsia="方正楷体简体" w:cs="方正楷体简体"/>
          <w:sz w:val="28"/>
          <w:szCs w:val="28"/>
          <w:highlight w:val="none"/>
        </w:rPr>
        <w:fldChar w:fldCharType="separate"/>
      </w:r>
      <w:r>
        <w:rPr>
          <w:rFonts w:hint="eastAsia" w:ascii="方正楷体简体" w:hAnsi="方正楷体简体" w:eastAsia="方正楷体简体" w:cs="方正楷体简体"/>
          <w:bCs w:val="0"/>
          <w:sz w:val="28"/>
          <w:szCs w:val="28"/>
          <w:highlight w:val="none"/>
        </w:rPr>
        <w:t>（二）存在不足</w:t>
      </w:r>
      <w:r>
        <w:rPr>
          <w:rFonts w:hint="eastAsia" w:ascii="方正楷体简体" w:hAnsi="方正楷体简体" w:eastAsia="方正楷体简体" w:cs="方正楷体简体"/>
          <w:bCs w:val="0"/>
          <w:sz w:val="28"/>
          <w:szCs w:val="28"/>
          <w:highlight w:val="none"/>
          <w:lang w:eastAsia="zh-CN"/>
        </w:rPr>
        <w:t>。</w:t>
      </w:r>
      <w:r>
        <w:rPr>
          <w:rFonts w:hint="eastAsia" w:ascii="方正楷体简体" w:hAnsi="方正楷体简体" w:eastAsia="方正楷体简体" w:cs="方正楷体简体"/>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_Toc289876015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二、</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十四五</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发展形势</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_Toc869898281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（一）发展机遇</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_Toc1961814194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（二）发展优势</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_Toc892315419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（三）面临挑战</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小标宋_GBK" w:hAnsi="方正小标宋_GBK" w:eastAsia="方正小标宋_GBK" w:cs="方正小标宋_GBK"/>
          <w:sz w:val="28"/>
          <w:szCs w:val="28"/>
        </w:rPr>
      </w:pP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begin"/>
      </w:r>
      <w:r>
        <w:rPr>
          <w:rFonts w:hint="eastAsia" w:ascii="方正小标宋_GBK" w:hAnsi="方正小标宋_GBK" w:eastAsia="方正小标宋_GBK" w:cs="方正小标宋_GBK"/>
          <w:sz w:val="28"/>
          <w:szCs w:val="28"/>
          <w:highlight w:val="none"/>
        </w:rPr>
        <w:instrText xml:space="preserve"> HYPERLINK \l _Toc713703992 </w:instrText>
      </w:r>
      <w:r>
        <w:rPr>
          <w:rFonts w:hint="eastAsia" w:ascii="方正小标宋_GBK" w:hAnsi="方正小标宋_GBK" w:eastAsia="方正小标宋_GBK" w:cs="方正小标宋_GBK"/>
          <w:sz w:val="28"/>
          <w:szCs w:val="28"/>
          <w:highlight w:val="none"/>
        </w:rPr>
        <w:fldChar w:fldCharType="separate"/>
      </w:r>
      <w:r>
        <w:rPr>
          <w:rFonts w:hint="eastAsia" w:ascii="方正小标宋_GBK" w:hAnsi="方正小标宋_GBK" w:eastAsia="方正小标宋_GBK" w:cs="方正小标宋_GBK"/>
          <w:bCs w:val="0"/>
          <w:sz w:val="28"/>
          <w:szCs w:val="28"/>
          <w:highlight w:val="none"/>
        </w:rPr>
        <w:t>第二章  发展思路与发展目标</w:t>
      </w: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_Toc482777710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一、指导思想</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_Toc940237989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二、基本原则</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_Toc1200348705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三、发展定位</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_Toc1633229560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四、发展目标</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_Toc1631002031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（一）文化保护常态化，文艺创作精品化</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_Toc601235342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（二）公共服务体系品质化，治理体系标准化</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_Toc1987805258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（三）文旅产业体系化，文旅传播品牌化</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_Toc1436012101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（四）广电设施现代化，广电网络智慧化</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_Toc1718736358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（五）体育产业多元化，全民健身生活化</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begin"/>
      </w:r>
      <w:r>
        <w:rPr>
          <w:rFonts w:hint="eastAsia" w:ascii="方正小标宋_GBK" w:hAnsi="方正小标宋_GBK" w:eastAsia="方正小标宋_GBK" w:cs="方正小标宋_GBK"/>
          <w:sz w:val="28"/>
          <w:szCs w:val="28"/>
          <w:highlight w:val="none"/>
        </w:rPr>
        <w:instrText xml:space="preserve"> HYPERLINK \l _Toc137898481 </w:instrText>
      </w:r>
      <w:r>
        <w:rPr>
          <w:rFonts w:hint="eastAsia" w:ascii="方正小标宋_GBK" w:hAnsi="方正小标宋_GBK" w:eastAsia="方正小标宋_GBK" w:cs="方正小标宋_GBK"/>
          <w:sz w:val="28"/>
          <w:szCs w:val="28"/>
          <w:highlight w:val="none"/>
        </w:rPr>
        <w:fldChar w:fldCharType="separate"/>
      </w:r>
      <w:r>
        <w:rPr>
          <w:rFonts w:hint="eastAsia" w:ascii="方正小标宋_GBK" w:hAnsi="方正小标宋_GBK" w:eastAsia="方正小标宋_GBK" w:cs="方正小标宋_GBK"/>
          <w:bCs w:val="0"/>
          <w:sz w:val="28"/>
          <w:szCs w:val="28"/>
          <w:highlight w:val="none"/>
        </w:rPr>
        <w:t>第三章  发展格局</w:t>
      </w: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_Toc1341134347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一、</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四城联动</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做大</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江海港城</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四大名片</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_Toc757514242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 xml:space="preserve">（一）聚焦文化江城，加快建设钦州老街历史文化休闲街区 </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_Toc896582379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（二）聚焦休闲海城，提升中国最美内海新城的品牌形象</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pacing w:val="-6"/>
          <w:sz w:val="28"/>
          <w:szCs w:val="28"/>
          <w:highlight w:val="none"/>
          <w14:textFill>
            <w14:solidFill>
              <w14:schemeClr w14:val="tx1"/>
            </w14:solidFill>
          </w14:textFill>
        </w:rPr>
        <w:fldChar w:fldCharType="begin"/>
      </w:r>
      <w:r>
        <w:rPr>
          <w:rFonts w:hint="eastAsia" w:ascii="方正楷体_GBK" w:hAnsi="方正楷体_GBK" w:eastAsia="方正楷体_GBK" w:cs="方正楷体_GBK"/>
          <w:spacing w:val="-6"/>
          <w:sz w:val="28"/>
          <w:szCs w:val="28"/>
          <w:highlight w:val="none"/>
        </w:rPr>
        <w:instrText xml:space="preserve"> HYPERLINK \l _Toc1378993836 </w:instrText>
      </w:r>
      <w:r>
        <w:rPr>
          <w:rFonts w:hint="eastAsia" w:ascii="方正楷体_GBK" w:hAnsi="方正楷体_GBK" w:eastAsia="方正楷体_GBK" w:cs="方正楷体_GBK"/>
          <w:spacing w:val="-6"/>
          <w:sz w:val="28"/>
          <w:szCs w:val="28"/>
          <w:highlight w:val="none"/>
        </w:rPr>
        <w:fldChar w:fldCharType="separate"/>
      </w:r>
      <w:r>
        <w:rPr>
          <w:rFonts w:hint="eastAsia" w:ascii="方正楷体_GBK" w:hAnsi="方正楷体_GBK" w:eastAsia="方正楷体_GBK" w:cs="方正楷体_GBK"/>
          <w:bCs w:val="0"/>
          <w:spacing w:val="-6"/>
          <w:sz w:val="28"/>
          <w:szCs w:val="28"/>
          <w:highlight w:val="none"/>
        </w:rPr>
        <w:t>（三）聚焦智慧港城，形成自贸区钦州港片区文广体旅消费集聚区</w:t>
      </w:r>
      <w:r>
        <w:rPr>
          <w:rFonts w:hint="eastAsia" w:ascii="方正楷体_GBK" w:hAnsi="方正楷体_GBK" w:eastAsia="方正楷体_GBK" w:cs="方正楷体_GBK"/>
          <w:bCs w:val="0"/>
          <w:spacing w:val="-6"/>
          <w:sz w:val="28"/>
          <w:szCs w:val="28"/>
          <w:highlight w:val="none"/>
          <w:lang w:eastAsia="zh-CN"/>
        </w:rPr>
        <w:t>。</w:t>
      </w:r>
      <w:r>
        <w:rPr>
          <w:rFonts w:hint="eastAsia" w:ascii="方正楷体_GBK" w:hAnsi="方正楷体_GBK" w:eastAsia="方正楷体_GBK" w:cs="方正楷体_GBK"/>
          <w:color w:val="000000" w:themeColor="text1"/>
          <w:spacing w:val="-6"/>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_Toc1719745855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（四）聚焦海湾慢城，推动三娘湾创建国家级旅游度假区</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_Toc2114331519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二、</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三区并进</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做实文广体旅产业全域融合大发展</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_Toc459276585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（一）推进灵山民俗风情体验区建设</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_Toc1186043248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（二）推进浦北文化康养度假区建设</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_Toc1870634296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（三）推进钦北山水人文休闲区建设</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_Toc1471576590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三、</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两带链接</w:t>
      </w:r>
      <w:r>
        <w:rPr>
          <w:rFonts w:hint="eastAsia" w:ascii="方正黑体_GBK" w:hAnsi="方正黑体_GBK" w:eastAsia="方正黑体_GBK" w:cs="方正黑体_GBK"/>
          <w:bCs w:val="0"/>
          <w:sz w:val="28"/>
          <w:szCs w:val="28"/>
          <w:highlight w:val="none"/>
          <w:lang w:eastAsia="zh-CN"/>
        </w:rPr>
        <w:t>”</w:t>
      </w:r>
      <w:r>
        <w:rPr>
          <w:rFonts w:hint="eastAsia" w:ascii="方正黑体_GBK" w:hAnsi="方正黑体_GBK" w:eastAsia="方正黑体_GBK" w:cs="方正黑体_GBK"/>
          <w:bCs w:val="0"/>
          <w:sz w:val="28"/>
          <w:szCs w:val="28"/>
          <w:highlight w:val="none"/>
        </w:rPr>
        <w:t>做强北部湾中心城市文旅品牌</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_Toc1716186842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（一）打造钦南滨海旅游度假休闲带</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_Toc1967355995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（二）打造钦江文化旅游生态休闲带</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小标宋_GBK" w:hAnsi="方正小标宋_GBK" w:eastAsia="方正小标宋_GBK" w:cs="方正小标宋_GBK"/>
          <w:sz w:val="28"/>
          <w:szCs w:val="28"/>
        </w:rPr>
      </w:pP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begin"/>
      </w:r>
      <w:r>
        <w:rPr>
          <w:rFonts w:hint="eastAsia" w:ascii="方正小标宋_GBK" w:hAnsi="方正小标宋_GBK" w:eastAsia="方正小标宋_GBK" w:cs="方正小标宋_GBK"/>
          <w:sz w:val="28"/>
          <w:szCs w:val="28"/>
          <w:highlight w:val="none"/>
        </w:rPr>
        <w:instrText xml:space="preserve"> HYPERLINK \l _Toc1533794256 </w:instrText>
      </w:r>
      <w:r>
        <w:rPr>
          <w:rFonts w:hint="eastAsia" w:ascii="方正小标宋_GBK" w:hAnsi="方正小标宋_GBK" w:eastAsia="方正小标宋_GBK" w:cs="方正小标宋_GBK"/>
          <w:sz w:val="28"/>
          <w:szCs w:val="28"/>
          <w:highlight w:val="none"/>
        </w:rPr>
        <w:fldChar w:fldCharType="separate"/>
      </w:r>
      <w:r>
        <w:rPr>
          <w:rFonts w:hint="eastAsia" w:ascii="方正小标宋_GBK" w:hAnsi="方正小标宋_GBK" w:eastAsia="方正小标宋_GBK" w:cs="方正小标宋_GBK"/>
          <w:bCs w:val="0"/>
          <w:sz w:val="28"/>
          <w:szCs w:val="28"/>
          <w:highlight w:val="none"/>
        </w:rPr>
        <w:t>第四章  主要任务</w:t>
      </w: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_Toc745455858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一、促进和提升社会文明</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_Toc358556272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（一）弘扬社会主义核心价值观</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_Toc2076672677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（二）提升人民群众文明素养和审美水平</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_Toc1035331873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二、促进文化事业和产业蓬勃发展</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_Toc1228454554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（一）推动新时代艺术创作高质量发展</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_Toc1891003223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（二）加强文化遗产资源管理</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_Toc1927647293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（三）提升文物保护利用水平</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_Toc1942158546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（四）激发非遗保护传承活力</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_Toc226297285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三、塑造特色休闲文旅形象</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_Toc720401634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（一）打造五大文旅品牌</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_Toc995023603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（二）推出</w:t>
      </w:r>
      <w:r>
        <w:rPr>
          <w:rFonts w:hint="eastAsia" w:ascii="方正楷体_GBK" w:hAnsi="方正楷体_GBK" w:eastAsia="方正楷体_GBK" w:cs="方正楷体_GBK"/>
          <w:bCs w:val="0"/>
          <w:sz w:val="28"/>
          <w:szCs w:val="28"/>
          <w:highlight w:val="none"/>
          <w:lang w:eastAsia="zh-CN"/>
        </w:rPr>
        <w:t>“</w:t>
      </w:r>
      <w:r>
        <w:rPr>
          <w:rFonts w:hint="default" w:ascii="Times New Roman" w:hAnsi="Times New Roman" w:eastAsia="方正楷体_GBK" w:cs="Times New Roman"/>
          <w:bCs w:val="0"/>
          <w:sz w:val="28"/>
          <w:szCs w:val="28"/>
          <w:highlight w:val="none"/>
        </w:rPr>
        <w:t>9+4</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bCs w:val="0"/>
          <w:sz w:val="28"/>
          <w:szCs w:val="28"/>
          <w:highlight w:val="none"/>
        </w:rPr>
        <w:t>精品旅游线路</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_Toc1859526845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（三）加强品牌营销推广</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_Toc203920017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四、提升产业要素品质</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_Toc1596258945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（一）促进旅游景区提质升级</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_Toc1699848455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（二）提升旅行社业发展水平</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_Toc1639932118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（三）塑造旅游餐饮服务品牌</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_Toc1167511655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（四）提升多元旅游住宿品质</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_Toc1837746937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（五）提升旅游购物消费水平</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_Toc833582817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（六）营造休闲文旅娱乐氛围</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_Toc1925025897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五、加快建设文旅公共体系</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_Toc586845668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（一）提升文化公共服务水平</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_Toc65093006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（二）推进旅游公共服务建设</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_Toc1497288104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（三）强化对外交流合作深度</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_Toc553693539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（四）完善现代文旅市场体系</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_Toc524369591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六、推进文旅多元化融合发展</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_Toc535847705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（一）推进</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bCs w:val="0"/>
          <w:sz w:val="28"/>
          <w:szCs w:val="28"/>
          <w:highlight w:val="none"/>
        </w:rPr>
        <w:t>文旅+健康</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_Toc276844187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（二）推进</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bCs w:val="0"/>
          <w:sz w:val="28"/>
          <w:szCs w:val="28"/>
          <w:highlight w:val="none"/>
        </w:rPr>
        <w:t>文旅+农业</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_Toc1995946181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（三）推进</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bCs w:val="0"/>
          <w:sz w:val="28"/>
          <w:szCs w:val="28"/>
          <w:highlight w:val="none"/>
        </w:rPr>
        <w:t>文旅+工业</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_Toc104550899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（四）推进</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bCs w:val="0"/>
          <w:sz w:val="28"/>
          <w:szCs w:val="28"/>
          <w:highlight w:val="none"/>
        </w:rPr>
        <w:t>文旅+教育</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ascii="Times New Roman" w:hAnsi="Times New Roman" w:cs="Times New Roman"/>
          <w:color w:val="000000" w:themeColor="text1"/>
          <w:sz w:val="28"/>
          <w:szCs w:val="28"/>
          <w:highlight w:val="none"/>
          <w14:textFill>
            <w14:solidFill>
              <w14:schemeClr w14:val="tx1"/>
            </w14:solidFill>
          </w14:textFill>
        </w:rPr>
        <w:fldChar w:fldCharType="begin"/>
      </w:r>
      <w:r>
        <w:rPr>
          <w:rFonts w:ascii="Times New Roman" w:hAnsi="Times New Roman" w:cs="Times New Roman"/>
          <w:sz w:val="28"/>
          <w:szCs w:val="28"/>
          <w:highlight w:val="none"/>
        </w:rPr>
        <w:instrText xml:space="preserve"> HYPERLINK \l _Toc96716535 </w:instrText>
      </w:r>
      <w:r>
        <w:rPr>
          <w:rFonts w:ascii="Times New Roman" w:hAnsi="Times New Roman" w:cs="Times New Roman"/>
          <w:sz w:val="28"/>
          <w:szCs w:val="28"/>
          <w:highlight w:val="none"/>
        </w:rPr>
        <w:fldChar w:fldCharType="separate"/>
      </w:r>
      <w:r>
        <w:rPr>
          <w:rFonts w:hint="eastAsia" w:ascii="方正黑体_GBK" w:hAnsi="方正黑体_GBK" w:eastAsia="方正黑体_GBK" w:cs="方正黑体_GBK"/>
          <w:bCs w:val="0"/>
          <w:sz w:val="28"/>
          <w:szCs w:val="28"/>
          <w:highlight w:val="none"/>
        </w:rPr>
        <w:t>七、做强做大广播电视和网络视听事业和产</w:t>
      </w:r>
      <w:r>
        <w:rPr>
          <w:rFonts w:hint="default" w:ascii="Times New Roman" w:hAnsi="Times New Roman" w:eastAsia="方正黑体_GBK" w:cs="Times New Roman"/>
          <w:bCs w:val="0"/>
          <w:sz w:val="28"/>
          <w:szCs w:val="28"/>
          <w:highlight w:val="none"/>
        </w:rPr>
        <w:t>业</w:t>
      </w:r>
      <w:r>
        <w:rPr>
          <w:rFonts w:ascii="Times New Roman" w:hAnsi="Times New Roman" w:cs="Times New Roman"/>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_Toc1382256789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（一）加快推进广播电视与媒体深度融合</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_Toc850006757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（二）加快推进广播电视和网络视听节目内容创作生产</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_Toc455272807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（三）构建</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bCs w:val="0"/>
          <w:sz w:val="28"/>
          <w:szCs w:val="28"/>
          <w:highlight w:val="none"/>
        </w:rPr>
        <w:t>智慧钦州</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bCs w:val="0"/>
          <w:sz w:val="28"/>
          <w:szCs w:val="28"/>
          <w:highlight w:val="none"/>
        </w:rPr>
        <w:t>现代化广播电视公共服务体系</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_Toc1311445818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（四）推进广播电视安全保障管理体系建设</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_Toc1885338630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八、统筹推动新时代体育高质量发展</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_Toc1683727361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（一）提升群众体育的吸引力</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_Toc1054965393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（二）推动竞技体育项目协调发展</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_Toc1665502275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（三）促进体育产业融合发展</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2"/>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begin"/>
      </w:r>
      <w:r>
        <w:rPr>
          <w:rFonts w:hint="eastAsia" w:ascii="方正楷体_GBK" w:hAnsi="方正楷体_GBK" w:eastAsia="方正楷体_GBK" w:cs="方正楷体_GBK"/>
          <w:sz w:val="28"/>
          <w:szCs w:val="28"/>
          <w:highlight w:val="none"/>
        </w:rPr>
        <w:instrText xml:space="preserve"> HYPERLINK \l _Toc1478402259 </w:instrText>
      </w:r>
      <w:r>
        <w:rPr>
          <w:rFonts w:hint="eastAsia" w:ascii="方正楷体_GBK" w:hAnsi="方正楷体_GBK" w:eastAsia="方正楷体_GBK" w:cs="方正楷体_GBK"/>
          <w:sz w:val="28"/>
          <w:szCs w:val="28"/>
          <w:highlight w:val="none"/>
        </w:rPr>
        <w:fldChar w:fldCharType="separate"/>
      </w:r>
      <w:r>
        <w:rPr>
          <w:rFonts w:hint="eastAsia" w:ascii="方正楷体_GBK" w:hAnsi="方正楷体_GBK" w:eastAsia="方正楷体_GBK" w:cs="方正楷体_GBK"/>
          <w:bCs w:val="0"/>
          <w:sz w:val="28"/>
          <w:szCs w:val="28"/>
          <w:highlight w:val="none"/>
        </w:rPr>
        <w:t>（四）实现体育多元化发展</w:t>
      </w:r>
      <w:r>
        <w:rPr>
          <w:rFonts w:hint="eastAsia" w:ascii="方正楷体_GBK" w:hAnsi="方正楷体_GBK" w:eastAsia="方正楷体_GBK" w:cs="方正楷体_GBK"/>
          <w:bCs w:val="0"/>
          <w:sz w:val="28"/>
          <w:szCs w:val="28"/>
          <w:highlight w:val="none"/>
          <w:lang w:eastAsia="zh-CN"/>
        </w:rPr>
        <w:t>。</w:t>
      </w:r>
      <w:r>
        <w:rPr>
          <w:rFonts w:hint="eastAsia" w:ascii="方正楷体_GBK" w:hAnsi="方正楷体_GBK" w:eastAsia="方正楷体_GBK" w:cs="方正楷体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小标宋_GBK" w:hAnsi="方正小标宋_GBK" w:eastAsia="方正小标宋_GBK" w:cs="方正小标宋_GBK"/>
          <w:sz w:val="28"/>
          <w:szCs w:val="28"/>
        </w:rPr>
      </w:pP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begin"/>
      </w:r>
      <w:r>
        <w:rPr>
          <w:rFonts w:hint="eastAsia" w:ascii="方正小标宋_GBK" w:hAnsi="方正小标宋_GBK" w:eastAsia="方正小标宋_GBK" w:cs="方正小标宋_GBK"/>
          <w:sz w:val="28"/>
          <w:szCs w:val="28"/>
          <w:highlight w:val="none"/>
        </w:rPr>
        <w:instrText xml:space="preserve"> HYPERLINK \l _Toc1281262678 </w:instrText>
      </w:r>
      <w:r>
        <w:rPr>
          <w:rFonts w:hint="eastAsia" w:ascii="方正小标宋_GBK" w:hAnsi="方正小标宋_GBK" w:eastAsia="方正小标宋_GBK" w:cs="方正小标宋_GBK"/>
          <w:sz w:val="28"/>
          <w:szCs w:val="28"/>
          <w:highlight w:val="none"/>
        </w:rPr>
        <w:fldChar w:fldCharType="separate"/>
      </w:r>
      <w:r>
        <w:rPr>
          <w:rFonts w:hint="eastAsia" w:ascii="方正小标宋_GBK" w:hAnsi="方正小标宋_GBK" w:eastAsia="方正小标宋_GBK" w:cs="方正小标宋_GBK"/>
          <w:bCs w:val="0"/>
          <w:sz w:val="28"/>
          <w:szCs w:val="28"/>
          <w:highlight w:val="none"/>
        </w:rPr>
        <w:t>第五章  重点工程</w:t>
      </w: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_Toc238420262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一、实施海丝文化申遗工程</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_Toc325942214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二、实施重点文旅品牌创建工程</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_Toc993305876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三、实施农文旅融合助推乡村振兴工程</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_Toc442340279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四、实施自贸试验区（钦州港片区）文旅消费平台建设工程</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_Toc1922201159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五、实施智慧广电引领产媒融合工程</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_Toc545670683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六、实施休闲体育产业提升工程</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小标宋_GBK" w:hAnsi="方正小标宋_GBK" w:eastAsia="方正小标宋_GBK" w:cs="方正小标宋_GBK"/>
          <w:sz w:val="28"/>
          <w:szCs w:val="28"/>
        </w:rPr>
      </w:pP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begin"/>
      </w:r>
      <w:r>
        <w:rPr>
          <w:rFonts w:hint="eastAsia" w:ascii="方正小标宋_GBK" w:hAnsi="方正小标宋_GBK" w:eastAsia="方正小标宋_GBK" w:cs="方正小标宋_GBK"/>
          <w:sz w:val="28"/>
          <w:szCs w:val="28"/>
          <w:highlight w:val="none"/>
        </w:rPr>
        <w:instrText xml:space="preserve"> HYPERLINK \l _Toc2082272398 </w:instrText>
      </w:r>
      <w:r>
        <w:rPr>
          <w:rFonts w:hint="eastAsia" w:ascii="方正小标宋_GBK" w:hAnsi="方正小标宋_GBK" w:eastAsia="方正小标宋_GBK" w:cs="方正小标宋_GBK"/>
          <w:sz w:val="28"/>
          <w:szCs w:val="28"/>
          <w:highlight w:val="none"/>
        </w:rPr>
        <w:fldChar w:fldCharType="separate"/>
      </w:r>
      <w:r>
        <w:rPr>
          <w:rFonts w:hint="eastAsia" w:ascii="方正小标宋_GBK" w:hAnsi="方正小标宋_GBK" w:eastAsia="方正小标宋_GBK" w:cs="方正小标宋_GBK"/>
          <w:bCs w:val="0"/>
          <w:sz w:val="28"/>
          <w:szCs w:val="28"/>
          <w:highlight w:val="none"/>
        </w:rPr>
        <w:t>第六章  保障措施</w:t>
      </w:r>
      <w:r>
        <w:rPr>
          <w:rFonts w:hint="eastAsia" w:ascii="方正小标宋_GBK" w:hAnsi="方正小标宋_GBK" w:eastAsia="方正小标宋_GBK" w:cs="方正小标宋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_Toc942229166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一、强化组织领导</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_Toc235933972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二、深化机制改革</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_Toc768371567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三、完善政策法规</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_Toc719771415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四、加强人才保障</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20"/>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ascii="Times New Roman" w:hAnsi="Times New Roman" w:cs="Times New Roman"/>
          <w:sz w:val="28"/>
          <w:szCs w:val="28"/>
        </w:rPr>
      </w:pP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begin"/>
      </w:r>
      <w:r>
        <w:rPr>
          <w:rFonts w:hint="eastAsia" w:ascii="方正黑体_GBK" w:hAnsi="方正黑体_GBK" w:eastAsia="方正黑体_GBK" w:cs="方正黑体_GBK"/>
          <w:sz w:val="28"/>
          <w:szCs w:val="28"/>
          <w:highlight w:val="none"/>
        </w:rPr>
        <w:instrText xml:space="preserve"> HYPERLINK \l _Toc822779641 </w:instrText>
      </w:r>
      <w:r>
        <w:rPr>
          <w:rFonts w:hint="eastAsia" w:ascii="方正黑体_GBK" w:hAnsi="方正黑体_GBK" w:eastAsia="方正黑体_GBK" w:cs="方正黑体_GBK"/>
          <w:sz w:val="28"/>
          <w:szCs w:val="28"/>
          <w:highlight w:val="none"/>
        </w:rPr>
        <w:fldChar w:fldCharType="separate"/>
      </w:r>
      <w:r>
        <w:rPr>
          <w:rFonts w:hint="eastAsia" w:ascii="方正黑体_GBK" w:hAnsi="方正黑体_GBK" w:eastAsia="方正黑体_GBK" w:cs="方正黑体_GBK"/>
          <w:bCs w:val="0"/>
          <w:sz w:val="28"/>
          <w:szCs w:val="28"/>
          <w:highlight w:val="none"/>
        </w:rPr>
        <w:t>五、强化监督考核</w:t>
      </w:r>
      <w:r>
        <w:rPr>
          <w:rFonts w:hint="eastAsia" w:ascii="方正黑体_GBK" w:hAnsi="方正黑体_GBK" w:eastAsia="方正黑体_GBK" w:cs="方正黑体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begin"/>
      </w:r>
      <w:r>
        <w:rPr>
          <w:rFonts w:hint="eastAsia" w:ascii="Times New Roman" w:hAnsi="Times New Roman" w:eastAsia="方正仿宋_GBK" w:cs="方正仿宋_GBK"/>
          <w:sz w:val="28"/>
          <w:szCs w:val="28"/>
          <w:highlight w:val="none"/>
        </w:rPr>
        <w:instrText xml:space="preserve"> HYPERLINK \l _Toc833464573 </w:instrText>
      </w:r>
      <w:r>
        <w:rPr>
          <w:rFonts w:hint="eastAsia" w:ascii="Times New Roman" w:hAnsi="Times New Roman" w:eastAsia="方正仿宋_GBK" w:cs="方正仿宋_GBK"/>
          <w:sz w:val="28"/>
          <w:szCs w:val="28"/>
          <w:highlight w:val="none"/>
        </w:rPr>
        <w:fldChar w:fldCharType="separate"/>
      </w:r>
      <w:r>
        <w:rPr>
          <w:rFonts w:hint="eastAsia" w:ascii="方正黑体_GBK" w:hAnsi="方正黑体_GBK" w:eastAsia="方正黑体_GBK" w:cs="方正黑体_GBK"/>
          <w:bCs w:val="0"/>
          <w:sz w:val="28"/>
          <w:szCs w:val="28"/>
          <w:highlight w:val="none"/>
        </w:rPr>
        <w:t>附件</w:t>
      </w:r>
      <w:r>
        <w:rPr>
          <w:rFonts w:hint="eastAsia" w:ascii="方正黑体_GBK" w:hAnsi="方正黑体_GBK" w:eastAsia="方正黑体_GBK" w:cs="方正黑体_GBK"/>
          <w:bCs w:val="0"/>
          <w:sz w:val="28"/>
          <w:szCs w:val="28"/>
          <w:highlight w:val="none"/>
          <w:lang w:eastAsia="zh-CN"/>
        </w:rPr>
        <w:t>：</w:t>
      </w:r>
      <w:r>
        <w:rPr>
          <w:rFonts w:hint="eastAsia" w:ascii="Times New Roman" w:hAnsi="Times New Roman" w:eastAsia="方正仿宋_GBK" w:cs="方正仿宋_GBK"/>
          <w:bCs w:val="0"/>
          <w:sz w:val="28"/>
          <w:szCs w:val="28"/>
          <w:highlight w:val="none"/>
        </w:rPr>
        <w:t>1</w:t>
      </w:r>
      <w:r>
        <w:rPr>
          <w:rFonts w:hint="eastAsia" w:ascii="Times New Roman" w:hAnsi="Times New Roman" w:eastAsia="方正仿宋_GBK" w:cs="方正仿宋_GBK"/>
          <w:bCs w:val="0"/>
          <w:sz w:val="28"/>
          <w:szCs w:val="28"/>
          <w:highlight w:val="none"/>
          <w:lang w:val="en-US" w:eastAsia="zh-CN"/>
        </w:rPr>
        <w:t>.</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end"/>
      </w:r>
      <w:r>
        <w:rPr>
          <w:rFonts w:hint="eastAsia" w:ascii="Times New Roman" w:hAnsi="Times New Roman" w:eastAsia="方正仿宋_GBK" w:cs="方正仿宋_GBK"/>
          <w:color w:val="000000" w:themeColor="text1"/>
          <w:sz w:val="28"/>
          <w:szCs w:val="28"/>
          <w:highlight w:val="none"/>
          <w:lang w:val="en-US" w:eastAsia="zh-CN"/>
          <w14:textFill>
            <w14:solidFill>
              <w14:schemeClr w14:val="tx1"/>
            </w14:solidFill>
          </w14:textFill>
        </w:rPr>
        <w:t xml:space="preserve"> </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begin"/>
      </w:r>
      <w:r>
        <w:rPr>
          <w:rFonts w:hint="eastAsia" w:ascii="Times New Roman" w:hAnsi="Times New Roman" w:eastAsia="方正仿宋_GBK" w:cs="方正仿宋_GBK"/>
          <w:sz w:val="28"/>
          <w:szCs w:val="28"/>
          <w:highlight w:val="none"/>
        </w:rPr>
        <w:instrText xml:space="preserve"> HYPERLINK \l _Toc69575872 </w:instrText>
      </w:r>
      <w:r>
        <w:rPr>
          <w:rFonts w:hint="eastAsia" w:ascii="Times New Roman" w:hAnsi="Times New Roman" w:eastAsia="方正仿宋_GBK" w:cs="方正仿宋_GBK"/>
          <w:sz w:val="28"/>
          <w:szCs w:val="28"/>
          <w:highlight w:val="none"/>
        </w:rPr>
        <w:fldChar w:fldCharType="separate"/>
      </w:r>
      <w:r>
        <w:rPr>
          <w:rFonts w:hint="eastAsia" w:ascii="Times New Roman" w:hAnsi="Times New Roman" w:eastAsia="方正仿宋_GBK" w:cs="方正仿宋_GBK"/>
          <w:bCs w:val="0"/>
          <w:sz w:val="28"/>
          <w:szCs w:val="28"/>
          <w:highlight w:val="none"/>
        </w:rPr>
        <w:t>钦州市</w:t>
      </w:r>
      <w:r>
        <w:rPr>
          <w:rFonts w:hint="eastAsia" w:ascii="Times New Roman" w:hAnsi="Times New Roman" w:eastAsia="方正仿宋_GBK" w:cs="方正仿宋_GBK"/>
          <w:bCs w:val="0"/>
          <w:sz w:val="28"/>
          <w:szCs w:val="28"/>
          <w:highlight w:val="none"/>
          <w:lang w:eastAsia="zh-CN"/>
        </w:rPr>
        <w:t>“</w:t>
      </w:r>
      <w:r>
        <w:rPr>
          <w:rFonts w:hint="eastAsia" w:ascii="Times New Roman" w:hAnsi="Times New Roman" w:eastAsia="方正仿宋_GBK" w:cs="方正仿宋_GBK"/>
          <w:bCs w:val="0"/>
          <w:sz w:val="28"/>
          <w:szCs w:val="28"/>
          <w:highlight w:val="none"/>
        </w:rPr>
        <w:t>十四五</w:t>
      </w:r>
      <w:r>
        <w:rPr>
          <w:rFonts w:hint="eastAsia" w:ascii="Times New Roman" w:hAnsi="Times New Roman" w:eastAsia="方正仿宋_GBK" w:cs="方正仿宋_GBK"/>
          <w:bCs w:val="0"/>
          <w:sz w:val="28"/>
          <w:szCs w:val="28"/>
          <w:highlight w:val="none"/>
          <w:lang w:eastAsia="zh-CN"/>
        </w:rPr>
        <w:t>”</w:t>
      </w:r>
      <w:r>
        <w:rPr>
          <w:rFonts w:hint="eastAsia" w:ascii="Times New Roman" w:hAnsi="Times New Roman" w:eastAsia="方正仿宋_GBK" w:cs="方正仿宋_GBK"/>
          <w:bCs w:val="0"/>
          <w:sz w:val="28"/>
          <w:szCs w:val="28"/>
          <w:highlight w:val="none"/>
        </w:rPr>
        <w:t>时期文化和旅游品牌培育</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begin"/>
      </w:r>
      <w:r>
        <w:rPr>
          <w:rFonts w:hint="eastAsia" w:ascii="Times New Roman" w:hAnsi="Times New Roman" w:eastAsia="方正仿宋_GBK" w:cs="方正仿宋_GBK"/>
          <w:sz w:val="28"/>
          <w:szCs w:val="28"/>
          <w:highlight w:val="none"/>
        </w:rPr>
        <w:instrText xml:space="preserve"> HYPERLINK \l _Toc1376473180 </w:instrText>
      </w:r>
      <w:r>
        <w:rPr>
          <w:rFonts w:hint="eastAsia" w:ascii="Times New Roman" w:hAnsi="Times New Roman" w:eastAsia="方正仿宋_GBK" w:cs="方正仿宋_GBK"/>
          <w:sz w:val="28"/>
          <w:szCs w:val="28"/>
          <w:highlight w:val="none"/>
        </w:rPr>
        <w:fldChar w:fldCharType="separate"/>
      </w:r>
      <w:r>
        <w:rPr>
          <w:rFonts w:hint="eastAsia" w:ascii="Times New Roman" w:hAnsi="Times New Roman" w:eastAsia="方正仿宋_GBK" w:cs="方正仿宋_GBK"/>
          <w:sz w:val="28"/>
          <w:szCs w:val="28"/>
          <w:highlight w:val="none"/>
          <w:lang w:val="en-US" w:eastAsia="zh-CN"/>
        </w:rPr>
        <w:t xml:space="preserve">      </w:t>
      </w:r>
      <w:r>
        <w:rPr>
          <w:rFonts w:hint="eastAsia" w:ascii="Times New Roman" w:hAnsi="Times New Roman" w:eastAsia="方正仿宋_GBK" w:cs="方正仿宋_GBK"/>
          <w:bCs w:val="0"/>
          <w:sz w:val="28"/>
          <w:szCs w:val="28"/>
          <w:highlight w:val="none"/>
        </w:rPr>
        <w:t>2</w:t>
      </w:r>
      <w:r>
        <w:rPr>
          <w:rFonts w:hint="eastAsia" w:ascii="Times New Roman" w:hAnsi="Times New Roman" w:eastAsia="方正仿宋_GBK" w:cs="方正仿宋_GBK"/>
          <w:bCs w:val="0"/>
          <w:sz w:val="28"/>
          <w:szCs w:val="28"/>
          <w:highlight w:val="none"/>
          <w:lang w:val="en-US" w:eastAsia="zh-CN"/>
        </w:rPr>
        <w:t>.</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end"/>
      </w:r>
      <w:r>
        <w:rPr>
          <w:rFonts w:hint="eastAsia" w:ascii="Times New Roman" w:hAnsi="Times New Roman" w:eastAsia="方正仿宋_GBK" w:cs="方正仿宋_GBK"/>
          <w:color w:val="000000" w:themeColor="text1"/>
          <w:sz w:val="28"/>
          <w:szCs w:val="28"/>
          <w:highlight w:val="none"/>
          <w:lang w:val="en-US" w:eastAsia="zh-CN"/>
          <w14:textFill>
            <w14:solidFill>
              <w14:schemeClr w14:val="tx1"/>
            </w14:solidFill>
          </w14:textFill>
        </w:rPr>
        <w:t xml:space="preserve"> </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begin"/>
      </w:r>
      <w:r>
        <w:rPr>
          <w:rFonts w:hint="eastAsia" w:ascii="Times New Roman" w:hAnsi="Times New Roman" w:eastAsia="方正仿宋_GBK" w:cs="方正仿宋_GBK"/>
          <w:sz w:val="28"/>
          <w:szCs w:val="28"/>
          <w:highlight w:val="none"/>
        </w:rPr>
        <w:instrText xml:space="preserve"> HYPERLINK \l _Toc1357834165 </w:instrText>
      </w:r>
      <w:r>
        <w:rPr>
          <w:rFonts w:hint="eastAsia" w:ascii="Times New Roman" w:hAnsi="Times New Roman" w:eastAsia="方正仿宋_GBK" w:cs="方正仿宋_GBK"/>
          <w:sz w:val="28"/>
          <w:szCs w:val="28"/>
          <w:highlight w:val="none"/>
        </w:rPr>
        <w:fldChar w:fldCharType="separate"/>
      </w:r>
      <w:r>
        <w:rPr>
          <w:rFonts w:hint="eastAsia" w:ascii="Times New Roman" w:hAnsi="Times New Roman" w:eastAsia="方正仿宋_GBK" w:cs="方正仿宋_GBK"/>
          <w:bCs w:val="0"/>
          <w:sz w:val="28"/>
          <w:szCs w:val="28"/>
          <w:highlight w:val="none"/>
        </w:rPr>
        <w:t>钦州市各县区</w:t>
      </w:r>
      <w:r>
        <w:rPr>
          <w:rFonts w:hint="eastAsia" w:ascii="Times New Roman" w:hAnsi="Times New Roman" w:eastAsia="方正仿宋_GBK" w:cs="方正仿宋_GBK"/>
          <w:bCs w:val="0"/>
          <w:sz w:val="28"/>
          <w:szCs w:val="28"/>
          <w:highlight w:val="none"/>
          <w:lang w:eastAsia="zh-CN"/>
        </w:rPr>
        <w:t>“</w:t>
      </w:r>
      <w:r>
        <w:rPr>
          <w:rFonts w:hint="eastAsia" w:ascii="Times New Roman" w:hAnsi="Times New Roman" w:eastAsia="方正仿宋_GBK" w:cs="方正仿宋_GBK"/>
          <w:bCs w:val="0"/>
          <w:sz w:val="28"/>
          <w:szCs w:val="28"/>
          <w:highlight w:val="none"/>
        </w:rPr>
        <w:t>十四五</w:t>
      </w:r>
      <w:r>
        <w:rPr>
          <w:rFonts w:hint="eastAsia" w:ascii="Times New Roman" w:hAnsi="Times New Roman" w:eastAsia="方正仿宋_GBK" w:cs="方正仿宋_GBK"/>
          <w:bCs w:val="0"/>
          <w:sz w:val="28"/>
          <w:szCs w:val="28"/>
          <w:highlight w:val="none"/>
          <w:lang w:eastAsia="zh-CN"/>
        </w:rPr>
        <w:t>”</w:t>
      </w:r>
      <w:r>
        <w:rPr>
          <w:rFonts w:hint="eastAsia" w:ascii="Times New Roman" w:hAnsi="Times New Roman" w:eastAsia="方正仿宋_GBK" w:cs="方正仿宋_GBK"/>
          <w:bCs w:val="0"/>
          <w:sz w:val="28"/>
          <w:szCs w:val="28"/>
          <w:highlight w:val="none"/>
        </w:rPr>
        <w:t>时期体育发展指引</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begin"/>
      </w:r>
      <w:r>
        <w:rPr>
          <w:rFonts w:hint="eastAsia" w:ascii="Times New Roman" w:hAnsi="Times New Roman" w:eastAsia="方正仿宋_GBK" w:cs="方正仿宋_GBK"/>
          <w:sz w:val="28"/>
          <w:szCs w:val="28"/>
          <w:highlight w:val="none"/>
        </w:rPr>
        <w:instrText xml:space="preserve"> HYPERLINK \l _Toc605423577 </w:instrText>
      </w:r>
      <w:r>
        <w:rPr>
          <w:rFonts w:hint="eastAsia" w:ascii="Times New Roman" w:hAnsi="Times New Roman" w:eastAsia="方正仿宋_GBK" w:cs="方正仿宋_GBK"/>
          <w:sz w:val="28"/>
          <w:szCs w:val="28"/>
          <w:highlight w:val="none"/>
        </w:rPr>
        <w:fldChar w:fldCharType="separate"/>
      </w:r>
      <w:r>
        <w:rPr>
          <w:rFonts w:hint="eastAsia" w:ascii="Times New Roman" w:hAnsi="Times New Roman" w:eastAsia="方正仿宋_GBK" w:cs="方正仿宋_GBK"/>
          <w:sz w:val="28"/>
          <w:szCs w:val="28"/>
          <w:highlight w:val="none"/>
          <w:lang w:val="en-US" w:eastAsia="zh-CN"/>
        </w:rPr>
        <w:t xml:space="preserve">      </w:t>
      </w:r>
      <w:r>
        <w:rPr>
          <w:rFonts w:hint="eastAsia" w:ascii="Times New Roman" w:hAnsi="Times New Roman" w:eastAsia="方正仿宋_GBK" w:cs="方正仿宋_GBK"/>
          <w:bCs w:val="0"/>
          <w:sz w:val="28"/>
          <w:szCs w:val="28"/>
          <w:highlight w:val="none"/>
        </w:rPr>
        <w:t>3</w:t>
      </w:r>
      <w:r>
        <w:rPr>
          <w:rFonts w:hint="eastAsia" w:ascii="Times New Roman" w:hAnsi="Times New Roman" w:eastAsia="方正仿宋_GBK" w:cs="方正仿宋_GBK"/>
          <w:bCs w:val="0"/>
          <w:sz w:val="28"/>
          <w:szCs w:val="28"/>
          <w:highlight w:val="none"/>
          <w:lang w:val="en-US" w:eastAsia="zh-CN"/>
        </w:rPr>
        <w:t>.</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end"/>
      </w:r>
      <w:r>
        <w:rPr>
          <w:rFonts w:hint="eastAsia" w:ascii="Times New Roman" w:hAnsi="Times New Roman" w:eastAsia="方正仿宋_GBK" w:cs="方正仿宋_GBK"/>
          <w:color w:val="000000" w:themeColor="text1"/>
          <w:sz w:val="28"/>
          <w:szCs w:val="28"/>
          <w:highlight w:val="none"/>
          <w:lang w:val="en-US" w:eastAsia="zh-CN"/>
          <w14:textFill>
            <w14:solidFill>
              <w14:schemeClr w14:val="tx1"/>
            </w14:solidFill>
          </w14:textFill>
        </w:rPr>
        <w:t xml:space="preserve"> </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begin"/>
      </w:r>
      <w:r>
        <w:rPr>
          <w:rFonts w:hint="eastAsia" w:ascii="Times New Roman" w:hAnsi="Times New Roman" w:eastAsia="方正仿宋_GBK" w:cs="方正仿宋_GBK"/>
          <w:sz w:val="28"/>
          <w:szCs w:val="28"/>
          <w:highlight w:val="none"/>
        </w:rPr>
        <w:instrText xml:space="preserve"> HYPERLINK \l _Toc1653317368 </w:instrText>
      </w:r>
      <w:r>
        <w:rPr>
          <w:rFonts w:hint="eastAsia" w:ascii="Times New Roman" w:hAnsi="Times New Roman" w:eastAsia="方正仿宋_GBK" w:cs="方正仿宋_GBK"/>
          <w:sz w:val="28"/>
          <w:szCs w:val="28"/>
          <w:highlight w:val="none"/>
        </w:rPr>
        <w:fldChar w:fldCharType="separate"/>
      </w:r>
      <w:r>
        <w:rPr>
          <w:rFonts w:hint="eastAsia" w:ascii="Times New Roman" w:hAnsi="Times New Roman" w:eastAsia="方正仿宋_GBK" w:cs="方正仿宋_GBK"/>
          <w:bCs w:val="0"/>
          <w:sz w:val="28"/>
          <w:szCs w:val="28"/>
          <w:highlight w:val="none"/>
        </w:rPr>
        <w:t>钦州市文化广电体育和旅游发展</w:t>
      </w:r>
      <w:r>
        <w:rPr>
          <w:rFonts w:hint="eastAsia" w:ascii="Times New Roman" w:hAnsi="Times New Roman" w:eastAsia="方正仿宋_GBK" w:cs="方正仿宋_GBK"/>
          <w:bCs w:val="0"/>
          <w:sz w:val="28"/>
          <w:szCs w:val="28"/>
          <w:highlight w:val="none"/>
          <w:lang w:eastAsia="zh-CN"/>
        </w:rPr>
        <w:t>“</w:t>
      </w:r>
      <w:r>
        <w:rPr>
          <w:rFonts w:hint="eastAsia" w:ascii="Times New Roman" w:hAnsi="Times New Roman" w:eastAsia="方正仿宋_GBK" w:cs="方正仿宋_GBK"/>
          <w:bCs w:val="0"/>
          <w:sz w:val="28"/>
          <w:szCs w:val="28"/>
          <w:highlight w:val="none"/>
        </w:rPr>
        <w:t>十四五</w:t>
      </w:r>
      <w:r>
        <w:rPr>
          <w:rFonts w:hint="eastAsia" w:ascii="Times New Roman" w:hAnsi="Times New Roman" w:eastAsia="方正仿宋_GBK" w:cs="方正仿宋_GBK"/>
          <w:bCs w:val="0"/>
          <w:sz w:val="28"/>
          <w:szCs w:val="28"/>
          <w:highlight w:val="none"/>
          <w:lang w:eastAsia="zh-CN"/>
        </w:rPr>
        <w:t>”</w:t>
      </w:r>
      <w:r>
        <w:rPr>
          <w:rFonts w:hint="eastAsia" w:ascii="Times New Roman" w:hAnsi="Times New Roman" w:eastAsia="方正仿宋_GBK" w:cs="方正仿宋_GBK"/>
          <w:bCs w:val="0"/>
          <w:sz w:val="28"/>
          <w:szCs w:val="28"/>
          <w:highlight w:val="none"/>
        </w:rPr>
        <w:t>重点项目表</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end"/>
      </w:r>
    </w:p>
    <w:p>
      <w:pPr>
        <w:pStyle w:val="16"/>
        <w:keepNext w:val="0"/>
        <w:keepLines w:val="0"/>
        <w:pageBreakBefore w:val="0"/>
        <w:widowControl w:val="0"/>
        <w:tabs>
          <w:tab w:val="right" w:pos="8958"/>
        </w:tabs>
        <w:kinsoku/>
        <w:wordWrap/>
        <w:overflowPunct/>
        <w:topLinePunct w:val="0"/>
        <w:autoSpaceDE/>
        <w:autoSpaceDN/>
        <w:bidi w:val="0"/>
        <w:adjustRightInd/>
        <w:snapToGrid/>
        <w:spacing w:line="480" w:lineRule="exact"/>
        <w:textAlignment w:val="auto"/>
        <w:rPr>
          <w:rFonts w:hint="eastAsia" w:ascii="Times New Roman" w:hAnsi="Times New Roman" w:eastAsia="方正仿宋_GBK" w:cs="方正仿宋_GBK"/>
          <w:sz w:val="28"/>
          <w:szCs w:val="28"/>
        </w:rPr>
      </w:pP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begin"/>
      </w:r>
      <w:r>
        <w:rPr>
          <w:rFonts w:hint="eastAsia" w:ascii="Times New Roman" w:hAnsi="Times New Roman" w:eastAsia="方正仿宋_GBK" w:cs="方正仿宋_GBK"/>
          <w:sz w:val="28"/>
          <w:szCs w:val="28"/>
          <w:highlight w:val="none"/>
        </w:rPr>
        <w:instrText xml:space="preserve"> HYPERLINK \l _Toc1206296698 </w:instrText>
      </w:r>
      <w:r>
        <w:rPr>
          <w:rFonts w:hint="eastAsia" w:ascii="Times New Roman" w:hAnsi="Times New Roman" w:eastAsia="方正仿宋_GBK" w:cs="方正仿宋_GBK"/>
          <w:sz w:val="28"/>
          <w:szCs w:val="28"/>
          <w:highlight w:val="none"/>
        </w:rPr>
        <w:fldChar w:fldCharType="separate"/>
      </w:r>
      <w:r>
        <w:rPr>
          <w:rFonts w:hint="eastAsia" w:ascii="方正黑体_GBK" w:hAnsi="方正黑体_GBK" w:eastAsia="方正黑体_GBK" w:cs="方正黑体_GBK"/>
          <w:bCs w:val="0"/>
          <w:sz w:val="28"/>
          <w:szCs w:val="28"/>
          <w:highlight w:val="none"/>
        </w:rPr>
        <w:t>附图</w:t>
      </w:r>
      <w:r>
        <w:rPr>
          <w:rFonts w:hint="eastAsia" w:ascii="Times New Roman" w:hAnsi="Times New Roman" w:eastAsia="方正仿宋_GBK" w:cs="方正仿宋_GBK"/>
          <w:bCs w:val="0"/>
          <w:sz w:val="28"/>
          <w:szCs w:val="28"/>
          <w:highlight w:val="none"/>
        </w:rPr>
        <w:t>：钦州市文化广电体育和旅游</w:t>
      </w:r>
      <w:r>
        <w:rPr>
          <w:rFonts w:hint="eastAsia" w:ascii="Times New Roman" w:hAnsi="Times New Roman" w:eastAsia="方正仿宋_GBK" w:cs="方正仿宋_GBK"/>
          <w:bCs w:val="0"/>
          <w:sz w:val="28"/>
          <w:szCs w:val="28"/>
          <w:highlight w:val="none"/>
          <w:lang w:eastAsia="zh-CN"/>
        </w:rPr>
        <w:t>“</w:t>
      </w:r>
      <w:r>
        <w:rPr>
          <w:rFonts w:hint="eastAsia" w:ascii="Times New Roman" w:hAnsi="Times New Roman" w:eastAsia="方正仿宋_GBK" w:cs="方正仿宋_GBK"/>
          <w:bCs w:val="0"/>
          <w:sz w:val="28"/>
          <w:szCs w:val="28"/>
          <w:highlight w:val="none"/>
        </w:rPr>
        <w:t>十四五</w:t>
      </w:r>
      <w:r>
        <w:rPr>
          <w:rFonts w:hint="eastAsia" w:ascii="Times New Roman" w:hAnsi="Times New Roman" w:eastAsia="方正仿宋_GBK" w:cs="方正仿宋_GBK"/>
          <w:bCs w:val="0"/>
          <w:sz w:val="28"/>
          <w:szCs w:val="28"/>
          <w:highlight w:val="none"/>
          <w:lang w:eastAsia="zh-CN"/>
        </w:rPr>
        <w:t>”</w:t>
      </w:r>
      <w:r>
        <w:rPr>
          <w:rFonts w:hint="eastAsia" w:ascii="Times New Roman" w:hAnsi="Times New Roman" w:eastAsia="方正仿宋_GBK" w:cs="方正仿宋_GBK"/>
          <w:bCs w:val="0"/>
          <w:sz w:val="28"/>
          <w:szCs w:val="28"/>
          <w:highlight w:val="none"/>
        </w:rPr>
        <w:t>规划图纸</w:t>
      </w:r>
      <w:r>
        <w:rPr>
          <w:rFonts w:hint="eastAsia" w:ascii="Times New Roman" w:hAnsi="Times New Roman" w:eastAsia="方正仿宋_GBK" w:cs="方正仿宋_GBK"/>
          <w:color w:val="000000" w:themeColor="text1"/>
          <w:sz w:val="28"/>
          <w:szCs w:val="28"/>
          <w:highlight w:val="none"/>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 w:val="28"/>
          <w:szCs w:val="28"/>
          <w:highlight w:val="none"/>
          <w14:textFill>
            <w14:solidFill>
              <w14:schemeClr w14:val="tx1"/>
            </w14:solidFill>
          </w14:textFill>
        </w:rPr>
        <w:fldChar w:fldCharType="end"/>
      </w:r>
    </w:p>
    <w:p>
      <w:pPr>
        <w:ind w:firstLine="480"/>
        <w:rPr>
          <w:rFonts w:ascii="Times New Roman" w:hAnsi="Times New Roman" w:eastAsia="黑体" w:cs="Times New Roman"/>
          <w:color w:val="000000" w:themeColor="text1"/>
          <w:sz w:val="24"/>
          <w:szCs w:val="24"/>
          <w:highlight w:val="none"/>
          <w14:textFill>
            <w14:solidFill>
              <w14:schemeClr w14:val="tx1"/>
            </w14:solidFill>
          </w14:textFill>
        </w:rPr>
        <w:sectPr>
          <w:headerReference r:id="rId5" w:type="default"/>
          <w:footerReference r:id="rId6" w:type="default"/>
          <w:pgSz w:w="11906" w:h="16838"/>
          <w:pgMar w:top="2098" w:right="1531" w:bottom="1531" w:left="1531" w:header="851" w:footer="992" w:gutter="0"/>
          <w:pgNumType w:fmt="decimal" w:start="1"/>
          <w:cols w:space="425" w:num="1"/>
          <w:docGrid w:type="lines" w:linePitch="381" w:charSpace="0"/>
        </w:sectPr>
      </w:pPr>
    </w:p>
    <w:bookmarkEnd w:id="0"/>
    <w:bookmarkEnd w:id="1"/>
    <w:bookmarkEnd w:id="2"/>
    <w:bookmarkEnd w:id="3"/>
    <w:bookmarkEnd w:id="4"/>
    <w:bookmarkEnd w:id="5"/>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方正小标宋_GBK" w:hAnsi="方正小标宋_GBK" w:eastAsia="方正小标宋_GBK" w:cs="方正小标宋_GBK"/>
          <w:b w:val="0"/>
          <w:bCs/>
          <w:color w:val="000000" w:themeColor="text1"/>
          <w:sz w:val="44"/>
          <w:szCs w:val="44"/>
          <w:highlight w:val="none"/>
          <w14:textFill>
            <w14:solidFill>
              <w14:schemeClr w14:val="tx1"/>
            </w14:solidFill>
          </w14:textFill>
        </w:rPr>
      </w:pPr>
      <w:bookmarkStart w:id="7" w:name="_Toc692526794"/>
      <w:bookmarkStart w:id="8" w:name="_Toc1100284554"/>
      <w:bookmarkStart w:id="9" w:name="_Toc96721699"/>
      <w:bookmarkStart w:id="10" w:name="_Toc1087"/>
      <w:bookmarkStart w:id="11" w:name="_Toc84945318"/>
      <w:r>
        <w:rPr>
          <w:rFonts w:hint="eastAsia" w:ascii="方正小标宋_GBK" w:hAnsi="方正小标宋_GBK" w:eastAsia="方正小标宋_GBK" w:cs="方正小标宋_GBK"/>
          <w:b w:val="0"/>
          <w:bCs/>
          <w:color w:val="000000" w:themeColor="text1"/>
          <w:sz w:val="44"/>
          <w:szCs w:val="44"/>
          <w:highlight w:val="none"/>
          <w14:textFill>
            <w14:solidFill>
              <w14:schemeClr w14:val="tx1"/>
            </w14:solidFill>
          </w14:textFill>
        </w:rPr>
        <w:t>前</w:t>
      </w:r>
      <w:r>
        <w:rPr>
          <w:rFonts w:hint="eastAsia" w:ascii="方正小标宋_GBK" w:hAnsi="方正小标宋_GBK" w:eastAsia="方正小标宋_GBK" w:cs="方正小标宋_GBK"/>
          <w:b w:val="0"/>
          <w:bCs/>
          <w:color w:val="000000" w:themeColor="text1"/>
          <w:sz w:val="44"/>
          <w:szCs w:val="44"/>
          <w:highlight w:val="none"/>
          <w:lang w:eastAsia="zh-CN"/>
          <w14:textFill>
            <w14:solidFill>
              <w14:schemeClr w14:val="tx1"/>
            </w14:solidFill>
          </w14:textFill>
        </w:rPr>
        <w:t>　</w:t>
      </w:r>
      <w:r>
        <w:rPr>
          <w:rFonts w:hint="eastAsia" w:ascii="方正小标宋_GBK" w:hAnsi="方正小标宋_GBK" w:eastAsia="方正小标宋_GBK" w:cs="方正小标宋_GBK"/>
          <w:b w:val="0"/>
          <w:bCs/>
          <w:color w:val="000000" w:themeColor="text1"/>
          <w:sz w:val="44"/>
          <w:szCs w:val="44"/>
          <w:highlight w:val="none"/>
          <w14:textFill>
            <w14:solidFill>
              <w14:schemeClr w14:val="tx1"/>
            </w14:solidFill>
          </w14:textFill>
        </w:rPr>
        <w:t>言</w:t>
      </w:r>
      <w:bookmarkEnd w:id="7"/>
      <w:bookmarkEnd w:id="8"/>
      <w:bookmarkEnd w:id="9"/>
      <w:bookmarkEnd w:id="10"/>
    </w:p>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p>
      <w:pPr>
        <w:spacing w:line="510" w:lineRule="exact"/>
        <w:ind w:firstLine="640"/>
        <w:rPr>
          <w:rFonts w:hint="default" w:ascii="Times New Roman" w:hAnsi="Times New Roman" w:eastAsia="方正仿宋_GBK" w:cs="Times New Roman"/>
          <w:color w:val="000000" w:themeColor="text1"/>
          <w:w w:val="97"/>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w w:val="97"/>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w w:val="97"/>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w w:val="97"/>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w w:val="97"/>
          <w:sz w:val="32"/>
          <w:szCs w:val="32"/>
          <w:highlight w:val="none"/>
          <w14:textFill>
            <w14:solidFill>
              <w14:schemeClr w14:val="tx1"/>
            </w14:solidFill>
          </w14:textFill>
        </w:rPr>
        <w:t>时期，我市文化、广电、体育和旅游工作坚持以习近平新时代中国特色社会主义思想为指导，认真贯彻落实党的十九大</w:t>
      </w:r>
      <w:r>
        <w:rPr>
          <w:rFonts w:hint="default" w:ascii="Times New Roman" w:hAnsi="Times New Roman" w:eastAsia="方正仿宋_GBK" w:cs="Times New Roman"/>
          <w:color w:val="000000" w:themeColor="text1"/>
          <w:w w:val="97"/>
          <w:sz w:val="32"/>
          <w:szCs w:val="32"/>
          <w:highlight w:val="none"/>
          <w:lang w:eastAsia="zh-CN"/>
          <w14:textFill>
            <w14:solidFill>
              <w14:schemeClr w14:val="tx1"/>
            </w14:solidFill>
          </w14:textFill>
        </w:rPr>
        <w:t>和</w:t>
      </w:r>
      <w:r>
        <w:rPr>
          <w:rFonts w:hint="default" w:ascii="Times New Roman" w:hAnsi="Times New Roman" w:eastAsia="方正仿宋_GBK" w:cs="Times New Roman"/>
          <w:color w:val="000000" w:themeColor="text1"/>
          <w:w w:val="97"/>
          <w:sz w:val="32"/>
          <w:szCs w:val="32"/>
          <w:highlight w:val="none"/>
          <w14:textFill>
            <w14:solidFill>
              <w14:schemeClr w14:val="tx1"/>
            </w14:solidFill>
          </w14:textFill>
        </w:rPr>
        <w:t>十九届</w:t>
      </w:r>
      <w:r>
        <w:rPr>
          <w:rFonts w:hint="default" w:ascii="Times New Roman" w:hAnsi="Times New Roman" w:eastAsia="方正仿宋_GBK" w:cs="Times New Roman"/>
          <w:color w:val="000000" w:themeColor="text1"/>
          <w:w w:val="97"/>
          <w:sz w:val="32"/>
          <w:szCs w:val="32"/>
          <w:highlight w:val="none"/>
          <w:lang w:eastAsia="zh-CN"/>
          <w14:textFill>
            <w14:solidFill>
              <w14:schemeClr w14:val="tx1"/>
            </w14:solidFill>
          </w14:textFill>
        </w:rPr>
        <w:t>历次</w:t>
      </w:r>
      <w:r>
        <w:rPr>
          <w:rFonts w:hint="default" w:ascii="Times New Roman" w:hAnsi="Times New Roman" w:eastAsia="方正仿宋_GBK" w:cs="Times New Roman"/>
          <w:color w:val="000000" w:themeColor="text1"/>
          <w:w w:val="97"/>
          <w:sz w:val="32"/>
          <w:szCs w:val="32"/>
          <w:highlight w:val="none"/>
          <w14:textFill>
            <w14:solidFill>
              <w14:schemeClr w14:val="tx1"/>
            </w14:solidFill>
          </w14:textFill>
        </w:rPr>
        <w:t>全会精神，牢固树立以人民为中心的发展思想和新发展理念，突出创新引领，大力推进全域旅游建设，着力推动各领域多层次全方位深度融合，不断提升文化、广电、体育和旅游产业的发展质量和效益，为全市经济社会高质量发展提供强大动力。</w:t>
      </w:r>
    </w:p>
    <w:p>
      <w:pPr>
        <w:spacing w:line="51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时期是我国全面建成小康社会、实现第一个百年奋斗目标的第一个五年，是社会主义文化强国建设的关键时期，也是</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市坚持新发展理念，</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构建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新发展格局的关键五年。本规划是钦州文化广电体育旅游机构改革之后的第一个五年发展规划。因此，在分析全市文化广电体育和旅游发展基础与面临机遇的基础上，挖掘钦州发展潜力</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、强化</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优势，科学编制并实施</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规划，对于推进文化旅游体育强市建设意义重大。</w:t>
      </w:r>
    </w:p>
    <w:p>
      <w:pPr>
        <w:spacing w:line="51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本规划主要依据《中华人民共和国国民经济和社会发展第十四个五年规划和2035年远景目标纲要》</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国务院关于印发</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〈全民健身计划（2021</w:t>
      </w:r>
      <w:r>
        <w:rPr>
          <w:rFonts w:hint="eastAsia" w:asciiTheme="minorEastAsia" w:hAnsiTheme="minorEastAsia" w:eastAsiaTheme="minorEastAsia" w:cstheme="minorEastAsia"/>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2025年）〉的通知》</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文化和旅游部关于印发〈</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十四五</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文化和旅游发展规划〉的通知》、</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《广西</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文化和旅游发展</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规划》</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《广西</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壮族自治区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体育发展</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规划》</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《广西壮族自治区广播电视和网络视听</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发展规划》</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《钦州市国民经济和社会发展第十四个五年规划和2035年远景目标纲要》等编制，主要阐明全市文化广电体育和旅游发展战略</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方向路径，明确任务目标和工作重点，描绘未来五年文化广电体育和旅游发展新蓝图，是全市文化广电体育和旅游系统的行动纲领。</w:t>
      </w:r>
    </w:p>
    <w:bookmarkEnd w:id="11"/>
    <w:p>
      <w:pPr>
        <w:pStyle w:val="29"/>
        <w:spacing w:before="190" w:beforeLines="50" w:after="190" w:afterLines="50"/>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pPr>
      <w:bookmarkStart w:id="12" w:name="_Toc62217666"/>
      <w:bookmarkStart w:id="13" w:name="_Toc959335645"/>
      <w:bookmarkStart w:id="14" w:name="_Toc13119"/>
      <w:bookmarkStart w:id="15" w:name="_Toc84945319"/>
      <w:bookmarkStart w:id="16" w:name="_Toc236002237"/>
      <w:bookmarkStart w:id="17" w:name="_Toc1537407628"/>
      <w:r>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t>第一章  发展基础与发展环境</w:t>
      </w:r>
      <w:bookmarkEnd w:id="12"/>
      <w:bookmarkEnd w:id="13"/>
      <w:bookmarkEnd w:id="14"/>
      <w:bookmarkEnd w:id="15"/>
      <w:bookmarkEnd w:id="16"/>
      <w:bookmarkEnd w:id="17"/>
    </w:p>
    <w:p>
      <w:pPr>
        <w:spacing w:line="540" w:lineRule="exact"/>
        <w:ind w:firstLine="420"/>
        <w:rPr>
          <w:rFonts w:ascii="Times New Roman" w:hAnsi="Times New Roman" w:eastAsia="黑体" w:cs="Times New Roman"/>
          <w:color w:val="000000" w:themeColor="text1"/>
          <w:sz w:val="21"/>
          <w:highlight w:val="none"/>
          <w14:textFill>
            <w14:solidFill>
              <w14:schemeClr w14:val="tx1"/>
            </w14:solidFill>
          </w14:textFill>
        </w:rPr>
      </w:pPr>
    </w:p>
    <w:p>
      <w:pPr>
        <w:pStyle w:val="4"/>
        <w:keepLines w:val="0"/>
        <w:pageBreakBefore w:val="0"/>
        <w:widowControl w:val="0"/>
        <w:kinsoku/>
        <w:wordWrap/>
        <w:overflowPunct/>
        <w:topLinePunct w:val="0"/>
        <w:autoSpaceDE/>
        <w:autoSpaceDN/>
        <w:bidi w:val="0"/>
        <w:adjustRightInd/>
        <w:snapToGrid/>
        <w:spacing w:before="0" w:after="0" w:line="58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18" w:name="_Toc80024319"/>
      <w:bookmarkStart w:id="19" w:name="_Toc2016758166"/>
      <w:bookmarkStart w:id="20" w:name="_Toc184"/>
      <w:bookmarkStart w:id="21" w:name="_Toc1362728949"/>
      <w:bookmarkStart w:id="22" w:name="_Toc1176752664"/>
      <w:bookmarkStart w:id="23" w:name="_Toc84945320"/>
      <w:bookmarkStart w:id="24" w:name="_Toc1650766011"/>
      <w:r>
        <w:rPr>
          <w:rFonts w:hint="default" w:ascii="Times New Roman" w:hAnsi="Times New Roman" w:eastAsia="方正黑体_GBK" w:cs="Times New Roman"/>
          <w:b w:val="0"/>
          <w:bCs w:val="0"/>
          <w:color w:val="000000" w:themeColor="text1"/>
          <w:highlight w:val="none"/>
          <w14:textFill>
            <w14:solidFill>
              <w14:schemeClr w14:val="tx1"/>
            </w14:solidFill>
          </w14:textFill>
        </w:rPr>
        <w:t>一、</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十三五</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发展回顾</w:t>
      </w:r>
      <w:bookmarkEnd w:id="18"/>
      <w:bookmarkEnd w:id="19"/>
      <w:bookmarkEnd w:id="20"/>
      <w:bookmarkEnd w:id="21"/>
      <w:bookmarkEnd w:id="22"/>
      <w:bookmarkEnd w:id="23"/>
      <w:bookmarkEnd w:id="24"/>
    </w:p>
    <w:p>
      <w:pPr>
        <w:pStyle w:val="5"/>
        <w:keepLines w:val="0"/>
        <w:pageBreakBefore w:val="0"/>
        <w:widowControl w:val="0"/>
        <w:kinsoku/>
        <w:wordWrap/>
        <w:overflowPunct/>
        <w:topLinePunct w:val="0"/>
        <w:autoSpaceDE/>
        <w:autoSpaceDN/>
        <w:bidi w:val="0"/>
        <w:adjustRightInd/>
        <w:snapToGrid/>
        <w:spacing w:before="0" w:after="0" w:line="58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5" w:name="_Toc85183074"/>
      <w:bookmarkStart w:id="26" w:name="_Toc1430"/>
      <w:bookmarkStart w:id="27" w:name="_Toc11588"/>
      <w:bookmarkStart w:id="28" w:name="_Toc80024320"/>
      <w:bookmarkStart w:id="29" w:name="_Toc85050966"/>
      <w:bookmarkStart w:id="30" w:name="_Toc84945321"/>
      <w:bookmarkStart w:id="31" w:name="_Toc85206509"/>
      <w:bookmarkStart w:id="32" w:name="_Toc2106042662"/>
      <w:bookmarkStart w:id="33" w:name="_Toc366977942"/>
      <w:bookmarkStart w:id="34" w:name="_Toc538683925"/>
      <w:bookmarkStart w:id="35" w:name="_Toc357644713"/>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（一）发展成就</w:t>
      </w:r>
      <w:bookmarkEnd w:id="25"/>
      <w:bookmarkEnd w:id="26"/>
      <w:bookmarkEnd w:id="27"/>
      <w:bookmarkEnd w:id="28"/>
      <w:bookmarkEnd w:id="29"/>
      <w:bookmarkEnd w:id="30"/>
      <w:bookmarkEnd w:id="3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2"/>
      <w:bookmarkEnd w:id="33"/>
      <w:bookmarkEnd w:id="34"/>
      <w:bookmarkEnd w:id="35"/>
    </w:p>
    <w:p>
      <w:pPr>
        <w:pStyle w:val="6"/>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36" w:name="_Toc1992224626"/>
      <w:r>
        <w:rPr>
          <w:rFonts w:hint="default" w:ascii="Times New Roman" w:hAnsi="Times New Roman" w:eastAsia="方正仿宋_GBK" w:cs="Times New Roman"/>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文化自信不断提升，实现文化自强</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36"/>
    </w:p>
    <w:p>
      <w:pPr>
        <w:pageBreakBefore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文艺精品创作成果丰硕。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市坚持把文艺精品创作生产作为推动全市文艺事业繁荣发展、提升全市文化影响力和竞争力的重要抓手，鼓励、引导广大文艺工作者深入挖掘英雄文化、坭兴陶文化、海歌文化、采茶</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戏</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文化等，各艺术门类优秀作品不断涌现。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市舞台艺术类作品共获国家级奖项20多</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项</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、获广西</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五个一</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工程奖和广西文艺创作铜鼓奖等自治区级奖项100多</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项；</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2018年至2020年，在全区基层群众文艺会演活动中，连续三年获得自治区级以上奖项排名全区前列。</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文化遗产保护研究扎实推进。</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近年来，</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市加强对文化遗址、革命遗址、特色村落和非物质文化遗产的保护利用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，出台</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了</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《钦州市历史文化街区保护条例》，全市文保工作成效显著。截至2020年底，全市共有全国重点文物保护单位3处，自治区级文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文物保护</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单位25处，市（县）级文物保护单位86处，国家级非物质文化遗产名录2项、自治区级29项、市级62项，国家级非遗代表性传承人2人、自治区级22人、市级60人。列入国家、自治区、市级非物质文化遗产代表性项目名录</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62</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项</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，每年安排资金对市级以上非物质文化遗产代表性传承人给予补助</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公共文化服务体系更加完善。</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市大力完善公共文化服务设施，丰富公共文化服务产品供给。创新管理和运行机制，推动市群众艺术馆、市图书馆、市博物馆建立法人治理结构并组建理事会，完成两县两区</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4</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个图书馆、</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4个</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文化馆总分馆制改革任务。</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共筹资25670.68万元推进公共文化设施建设，全市公共文化服务标准化、均等化得到进一步提升。截至2020年底，全市有文化馆5个，图书馆5个，博物馆（文化事业单位）3个，镇（街道）文化站58个、图书室58个，村级公共服务中心954个。全市有馆藏文物约5700件，馆藏纸质图书总数83.1473万册，电子书264.39万册。全市3个公共博物馆、2个全国爱国主义教育示范基地、5个自治区级爱国主义教育示范基地及公共图书馆、文化馆（站）已全部实现免费开放，每年服务人次突破200万。</w:t>
      </w:r>
    </w:p>
    <w:p>
      <w:pPr>
        <w:pStyle w:val="6"/>
        <w:numPr>
          <w:ilvl w:val="0"/>
          <w:numId w:val="1"/>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37" w:name="_Toc1926712173"/>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文旅融合成绩显著，达到全新高度</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37"/>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文旅产业规模增长。</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截至2020年底，</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市共有A级</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旅游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景区30家，其中AAAA级10家，AAA级18家，AA级2家。国家级文化产业示范基地1家，国家级非物质文化遗产生产性保护示范基地1家，自治区级文化产业示范园区1家，自治区级文化产业示范基地11家，自治区级非遗保护传承基地10家。</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时期，共接待游客量16899.87万人次，实现旅游总消费1713.23亿元。受新冠肺炎疫情影响，2020年</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我市</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旅游发展主要经济指标较2019年有所下降，接待游客3875.74万人次，实现旅游总消费390.99亿元，分别恢复同比77.57％、74.93％。近五年来，全市旅游接待人次、旅游总收入增速均保持在全区前三位。</w:t>
      </w:r>
    </w:p>
    <w:p>
      <w:pPr>
        <w:pStyle w:val="19"/>
        <w:ind w:left="1120" w:hanging="560"/>
        <w:jc w:val="center"/>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eastAsia="方正仿宋_GBK" w:cs="Times New Roman"/>
          <w:color w:val="000000" w:themeColor="text1"/>
          <w:highlight w:val="none"/>
          <w14:textFill>
            <w14:solidFill>
              <w14:schemeClr w14:val="tx1"/>
            </w14:solidFill>
          </w14:textFill>
        </w:rPr>
        <w:drawing>
          <wp:anchor distT="0" distB="0" distL="0" distR="0" simplePos="0" relativeHeight="251667456" behindDoc="0" locked="0" layoutInCell="1" allowOverlap="1">
            <wp:simplePos x="0" y="0"/>
            <wp:positionH relativeFrom="column">
              <wp:posOffset>306705</wp:posOffset>
            </wp:positionH>
            <wp:positionV relativeFrom="paragraph">
              <wp:posOffset>260985</wp:posOffset>
            </wp:positionV>
            <wp:extent cx="5080000" cy="3810000"/>
            <wp:effectExtent l="0" t="0" r="0" b="0"/>
            <wp:wrapTopAndBottom/>
            <wp:docPr id="1031"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hint="default" w:ascii="Times New Roman" w:hAnsi="Times New Roman" w:eastAsia="方正仿宋_GBK" w:cs="Times New Roman"/>
          <w:color w:val="000000" w:themeColor="text1"/>
          <w:highlight w:val="none"/>
          <w14:textFill>
            <w14:solidFill>
              <w14:schemeClr w14:val="tx1"/>
            </w14:solidFill>
          </w14:textFill>
        </w:rPr>
        <w:t xml:space="preserve">图1-1 </w:t>
      </w:r>
      <w:r>
        <w:rPr>
          <w:rFonts w:hint="eastAsia" w:ascii="Times New Roman" w:hAnsi="Times New Roman" w:eastAsia="方正仿宋_GBK" w:cs="Times New Roman"/>
          <w:color w:val="000000" w:themeColor="text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highlight w:val="none"/>
          <w14:textFill>
            <w14:solidFill>
              <w14:schemeClr w14:val="tx1"/>
            </w14:solidFill>
          </w14:textFill>
        </w:rPr>
        <w:t>十三五</w:t>
      </w:r>
      <w:r>
        <w:rPr>
          <w:rFonts w:hint="eastAsia" w:ascii="Times New Roman" w:hAnsi="Times New Roman" w:eastAsia="方正仿宋_GBK" w:cs="Times New Roman"/>
          <w:color w:val="000000" w:themeColor="text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highlight w:val="none"/>
          <w14:textFill>
            <w14:solidFill>
              <w14:schemeClr w14:val="tx1"/>
            </w14:solidFill>
          </w14:textFill>
        </w:rPr>
        <w:t>时期钦州旅游发展主要经济指标增长情况对比</w:t>
      </w:r>
    </w:p>
    <w:p>
      <w:pPr>
        <w:spacing w:line="540" w:lineRule="exact"/>
        <w:ind w:firstLine="643"/>
        <w:rPr>
          <w:rFonts w:ascii="Times New Roman" w:hAnsi="Times New Roman" w:eastAsia="仿宋_GB2312" w:cs="Times New Roman"/>
          <w:b/>
          <w:bCs/>
          <w:color w:val="000000" w:themeColor="text1"/>
          <w:kern w:val="0"/>
          <w:sz w:val="32"/>
          <w:szCs w:val="32"/>
          <w:highlight w:val="none"/>
          <w14:textFill>
            <w14:solidFill>
              <w14:schemeClr w14:val="tx1"/>
            </w14:solidFill>
          </w14:textFill>
        </w:rPr>
      </w:pP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以旅游推动文物保护利用。</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我市</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依托文化遗产、资源和要素优势，以文促旅、以旅</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彰</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文，加强文物保护利用，结合城市品质提升行动，重点推动历史文化街区保护开发，坚持</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修旧如旧</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原则，推进广州会馆、平南古渡、占鳌巷建设，平南古渡牌坊、新盛巷、文澜巷等成为新</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晋</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网红打卡点，推出钦州古城一日游线路。开展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走走英雄路 听听家乡曲</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常态化演出，在广州会馆、平南古渡，市民可见烟墩大鼓、采茶戏、粤曲等民俗文化表演，让</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英雄文化在纸上</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变为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英雄文化看得见</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文旅结合乡村风貌提升推动发展。</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将全市乡村风貌提升示范点，同步创建为乡村旅游区，促进乡村旅游连片开发。近年来，富斗田村等一批特色乡村成功创建广西四星级以上乡村旅游区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农家乐</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，崩塘村等边远山村通过旅游扶贫日新月异。加大宣传推介力度推动融合发展</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以旅游传承交流文化，通过</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台上+网上</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精准营销。五年来，</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市以文化提升旅游项目、旅游产业的品质内涵，用旅游传播文明、彰显文化自信，不断促进文旅深度融合发展，推动文旅产业可持续发展。</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文化旅游市场监管成效显著。</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市不断加强文化旅游市场监管，取得显著成效。制定完善了《钦州市文化市场综合执法工作绩效考评办法》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《机关工作人员工作纪律和考勤管理规定》</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《12318文化市场举报值班制度》等，加大市场巡查密度和频率，坚持每月对文化经营场所至少检查</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1</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次，确保70%的执法力量在市场上巡查。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期间</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市共出动执法人员17.6万人次，检查各类经营单位63276家次，受理举报426起，收缴各类非法出版物21442册；查处各类违法违规案件880起，取缔各类违法经营场所202家，吊销经营许可证4家。组织开展互联网上网服务营业场所专项整治行动、扫黄打非、学校校园及周边文化市场专项整治行动等，有效整顿和规范文化市场经济秩序，确保全市文化市场健康有序发展。</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文化旅游扶贫工作扎实开展。</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深化旅游发展融入新农村建设、精准扶贫和乡村振兴战略中，找准钦州市文化旅游发展需求与民生期盼的结合点，挖掘村镇生态资源、历史古迹、传统习俗和风土人情等优势资源，加快乡村旅游区建设与星级评比，建成一批休闲农业和乡村旅游示范点、</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星级</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乡村旅游区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（农家乐）</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、美丽休闲乡村等。浦北县积极推动现代农业与乡村旅游融合发展，以旅促农</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农旅互助，走出了一条旅游扶贫的新路子，获央视点赞。</w:t>
      </w:r>
    </w:p>
    <w:p>
      <w:pPr>
        <w:pStyle w:val="6"/>
        <w:numPr>
          <w:ilvl w:val="0"/>
          <w:numId w:val="2"/>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38" w:name="_Toc1194242568"/>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广电促进文旅发展，优化城市品质</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38"/>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宣传推广对外交流成效显著。</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市坚持以旅游传承交流文化，开展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台上+网上</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精准营销。台上组成</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文艺小骑兵</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，通过文艺展演推介钦州旅游。网上坚持传统媒体与新媒体相结合，打造新媒体推广营销矩阵。开展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十大猪脚粉名店</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评选、钦州老街美食推荐、</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蚝好吃</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美食推荐店等活动。积极前往广州、南宁</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等地</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举办文化旅游招商推介会，受到当地市民以及媒体的高度关注。利用中马产业园区、自贸区钦州港片区等平台，开启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关丹日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两市双日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文化交流活动，钦州市文化影响力和旅游知名度不断提高。</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全媒体融合发展多格局形成。</w:t>
      </w:r>
      <w:r>
        <w:rPr>
          <w:rFonts w:hint="default" w:ascii="Times New Roman" w:hAnsi="Times New Roman" w:eastAsia="方正仿宋_GBK" w:cs="Times New Roman"/>
          <w:b w:val="0"/>
          <w:bCs w:val="0"/>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市广播电视工作积极推进融媒体</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策采编发评</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工作流程重构，打造了</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3+2+N</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官方媒体矩阵，即：钦州日报、钦州广播电台、钦州电视台3家传统媒体，钦州新闻网、钦州政府网2家网站，还有微信公众号</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钦州发布</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、政务微博</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钦州发布</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和新闻客户端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钦州此刻</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APP，以及抖音、头条号等一批新媒体，基本实现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报、台、网、端、微、屏、抖</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的全媒体融合发展格局。实现宣传报道的全方位覆盖、全天候延伸、多领域拓展，新闻宣传业务成效明显，媒体的传播力、引导力、影响力、公信力大大增强。</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智慧广电服务体系加快升级。</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市顺利完成广播电视</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村村通</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工程的规划任务，推进惠民工程，广电公共服务体系加快升级，对各</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镇（街道）、行政村（社区）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实施安装</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户户通</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设备，实现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村村通</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。协调、配合施工单位实施中央广播电视节目无线数字化覆盖工程。2020年末，全市广播综合人口覆盖率98.43%，电视综合人口覆盖率98.83%。</w:t>
      </w:r>
    </w:p>
    <w:p>
      <w:pPr>
        <w:pStyle w:val="6"/>
        <w:numPr>
          <w:ilvl w:val="0"/>
          <w:numId w:val="3"/>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39" w:name="_Toc1355063428"/>
      <w:r>
        <w:rPr>
          <w:rFonts w:hint="default" w:ascii="Times New Roman" w:hAnsi="Times New Roman" w:eastAsia="方正仿宋_GBK" w:cs="Times New Roman"/>
          <w:color w:val="000000" w:themeColor="text1"/>
          <w:sz w:val="32"/>
          <w:szCs w:val="32"/>
          <w:highlight w:val="none"/>
          <w14:textFill>
            <w14:solidFill>
              <w14:schemeClr w14:val="tx1"/>
            </w14:solidFill>
          </w14:textFill>
        </w:rPr>
        <w:t>体育产业加快发展，建设体育强市</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39"/>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全民体育健身氛围基本形成。</w:t>
      </w:r>
      <w:r>
        <w:rPr>
          <w:rFonts w:hint="default" w:ascii="Times New Roman" w:hAnsi="Times New Roman" w:eastAsia="方正仿宋_GBK" w:cs="Times New Roman"/>
          <w:b w:val="0"/>
          <w:bCs w:val="0"/>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市全民健身氛围基本形成，全市经常参加体育锻炼的人数逐年</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攀升</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，人均体育场地面积显著增加，各县区、各镇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每年举办形式多样、内容丰富、主题突出、特色鲜明的群众体育活动。其中，</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十三五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时期末，全市经常参加体育锻炼人数比例达到30%；人均体育场地面积1.85平方米；年均举办全民健身赛事活动</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超过</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100场次；累计培养体育社会组织91家；城区15分钟健身圈基本形成；实现市、县区、镇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、行政村</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（社区）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四级全民健身设施覆盖率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100%。</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竞技体育实力得到综合提升。</w:t>
      </w:r>
      <w:r>
        <w:rPr>
          <w:rFonts w:hint="default" w:ascii="Times New Roman" w:hAnsi="Times New Roman" w:eastAsia="方正仿宋_GBK" w:cs="Times New Roman"/>
          <w:b w:val="0"/>
          <w:bCs w:val="0"/>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竞技体育工作坚持以备战自治区运动会为抓手，持续开展体育后备人才选拔、培养和输送工作，竞技体育综合实力得到提升。目前全市拥有各级业余体校5所，自治区级传统体校8所，在训人数约2千人。市业余体校获命名为自治区竞技体育重点项目训练基地和自治区体育后备人才基地，荣获自治区体育局通报表扬为自治区竞技体育先进单位。钦州市积极参加全区青少年各单项锦标赛和广西</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壮族</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自治区第十四届运动会，2016年至2020年共获金牌131枚、银牌128枚、铜牌152枚，举重、跳水、蹦床、自由式滑雪等运动项目培养出高水平运动健儿。钦州市向自治区体校、自治区各运动中心输送了46名在训优秀体育</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苗子运动员</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p>
    <w:p>
      <w:pPr>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世界重大赛事举办取得突破。</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从2017年开始，</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连续三年举办环广西公路自行车世界巡回赛、世界沙滩排球巡回赛—钦州公开赛两大国际顶级赛事，以及钦州马拉松赛、东盟狮王争霸赛、东盟体育舞蹈锦标赛等一批重大体育赛事活动。环广西公路自行车世界巡回赛仅抖音点赞超10亿。世界沙滩排球巡回赛—钦州公开赛连续三年入选自治区级精品体育旅游赛事。</w:t>
      </w:r>
    </w:p>
    <w:p>
      <w:pPr>
        <w:pStyle w:val="5"/>
        <w:keepLines w:val="0"/>
        <w:pageBreakBefore w:val="0"/>
        <w:widowControl w:val="0"/>
        <w:kinsoku/>
        <w:wordWrap/>
        <w:overflowPunct/>
        <w:topLinePunct w:val="0"/>
        <w:autoSpaceDE/>
        <w:autoSpaceDN/>
        <w:bidi w:val="0"/>
        <w:adjustRightInd/>
        <w:snapToGrid/>
        <w:spacing w:before="0" w:after="0" w:line="58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40" w:name="_Toc85183075"/>
      <w:bookmarkStart w:id="41" w:name="_Toc7342"/>
      <w:bookmarkStart w:id="42" w:name="_Toc635120851"/>
      <w:bookmarkStart w:id="43" w:name="_Toc84945322"/>
      <w:bookmarkStart w:id="44" w:name="_Toc665421356"/>
      <w:bookmarkStart w:id="45" w:name="_Toc85050967"/>
      <w:bookmarkStart w:id="46" w:name="_Toc30988"/>
      <w:bookmarkStart w:id="47" w:name="_Toc85206510"/>
      <w:bookmarkStart w:id="48" w:name="_Toc80024321"/>
      <w:bookmarkStart w:id="49" w:name="_Toc1627336010"/>
      <w:bookmarkStart w:id="50" w:name="_Toc542878421"/>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（二）存在不足</w:t>
      </w:r>
      <w:bookmarkEnd w:id="40"/>
      <w:bookmarkEnd w:id="41"/>
      <w:bookmarkEnd w:id="42"/>
      <w:bookmarkEnd w:id="43"/>
      <w:bookmarkEnd w:id="44"/>
      <w:bookmarkEnd w:id="45"/>
      <w:bookmarkEnd w:id="46"/>
      <w:bookmarkEnd w:id="47"/>
      <w:bookmarkEnd w:id="48"/>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9"/>
      <w:bookmarkEnd w:id="50"/>
    </w:p>
    <w:p>
      <w:pPr>
        <w:pStyle w:val="6"/>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51" w:name="_Toc1024544596"/>
      <w:r>
        <w:rPr>
          <w:rFonts w:hint="default" w:ascii="Times New Roman" w:hAnsi="Times New Roman" w:eastAsia="方正仿宋_GBK" w:cs="Times New Roman"/>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文旅特色品牌形象有待提升</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51"/>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市拥有五彩海豚、最美内海、千年古陶、刘冯英雄、大蚝之乡等众多独特资源</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禀赋；</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拥有国际门户港、自贸试验区、西部陆海新通道枢纽城市等区位优势，还具有独特的民间工艺和鲜明的地域文化</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美食文化，不足之处是目前能够体现资源特色和城市气质的品牌形象还不够鲜明，在全国旅游知名度</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仍</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需进一步提高。</w:t>
      </w:r>
    </w:p>
    <w:p>
      <w:pPr>
        <w:pStyle w:val="6"/>
        <w:numPr>
          <w:ilvl w:val="0"/>
          <w:numId w:val="4"/>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52" w:name="_Toc1168369780"/>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文旅高端产品供给有待加强</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52"/>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市文化旅游资源丰富、品位较高，但资源开发的创新程度和整合力度不足，缺乏高品位、高档次、精品化、特色化的拳头产品。</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虽</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重点景区数量有所突破，但精品景区数量较少，目前仍缺少国家AAAAA级景区、国家级旅游度假区、国家级旅游休闲街区。休闲度假类产品少，大多</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数</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仍处于大众郊游观光阶段，独特的历史文化、英雄文化、古陶文化、海丝文化、康养资源、海洋特色美食等缺乏深度挖掘和利用，缺乏网红民宿、夜间经济、文博文创、品牌演艺等新型产品业态，导致文旅消费整体氛围不足、水平不高。</w:t>
      </w:r>
    </w:p>
    <w:p>
      <w:pPr>
        <w:pStyle w:val="6"/>
        <w:numPr>
          <w:ilvl w:val="0"/>
          <w:numId w:val="5"/>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53" w:name="_Toc229013829"/>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文旅发展区域协同有待整合</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53"/>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市尚缺乏有效而精准的整合大区域文旅协同发展的机制，与首府生态旅游圈、国家边境旅游试验区、21世纪海上丝绸之路等大题材相关区域文旅发展协同效应尚低，导致在大区域格局中的战略地位未能彰显，文旅</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发展还</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需要进一步整合战略资源，优化协同发展机制。</w:t>
      </w:r>
    </w:p>
    <w:p>
      <w:pPr>
        <w:pStyle w:val="6"/>
        <w:numPr>
          <w:ilvl w:val="0"/>
          <w:numId w:val="6"/>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54" w:name="_Toc1832424332"/>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广电惠民工程建设有待完善</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54"/>
    </w:p>
    <w:p>
      <w:pPr>
        <w:spacing w:line="540" w:lineRule="exact"/>
        <w:ind w:firstLine="640"/>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智慧广电工程入户率低。</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应急广播建设仍面临</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资金紧张，长效管理机制尚未建立，体系尚未健全，并且缺乏安全可靠的信息来源。实施中央广播电视节目无线数字化覆盖工程后，与之配套的监测系统、远程监控系统等还需进一步完善</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p>
    <w:p>
      <w:pPr>
        <w:pStyle w:val="6"/>
        <w:numPr>
          <w:ilvl w:val="0"/>
          <w:numId w:val="7"/>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55" w:name="_Toc1684201075"/>
      <w:r>
        <w:rPr>
          <w:rFonts w:hint="default" w:ascii="Times New Roman" w:hAnsi="Times New Roman" w:eastAsia="方正仿宋_GBK" w:cs="Times New Roman"/>
          <w:color w:val="000000" w:themeColor="text1"/>
          <w:sz w:val="32"/>
          <w:szCs w:val="32"/>
          <w:highlight w:val="none"/>
          <w14:textFill>
            <w14:solidFill>
              <w14:schemeClr w14:val="tx1"/>
            </w14:solidFill>
          </w14:textFill>
        </w:rPr>
        <w:t>竞技体育青训优势有待转型</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55"/>
    </w:p>
    <w:p>
      <w:pPr>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在</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现有的5所业余体校中，只有钦州市业余体校、灵山县业余体校、浦北县业余体校3所正常运行，钦南区体校有编制无训练场所和队伍，钦北区体校无编制无训练场所和队伍。钦州竞技体育青少年训练以业余体校为主的传统优势，在新发展阶段有待转型重生。</w:t>
      </w:r>
    </w:p>
    <w:p>
      <w:pPr>
        <w:pStyle w:val="4"/>
        <w:keepLines w:val="0"/>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56" w:name="_Toc1574893241"/>
      <w:bookmarkStart w:id="57" w:name="_Toc80024322"/>
      <w:bookmarkStart w:id="58" w:name="_Toc84945323"/>
      <w:bookmarkStart w:id="59" w:name="_Toc289876015"/>
      <w:bookmarkStart w:id="60" w:name="_Toc493642366"/>
      <w:bookmarkStart w:id="61" w:name="_Toc427992834"/>
      <w:bookmarkStart w:id="62" w:name="_Toc31394"/>
      <w:r>
        <w:rPr>
          <w:rFonts w:hint="default" w:ascii="Times New Roman" w:hAnsi="Times New Roman" w:eastAsia="方正黑体_GBK" w:cs="Times New Roman"/>
          <w:b w:val="0"/>
          <w:bCs w:val="0"/>
          <w:color w:val="000000" w:themeColor="text1"/>
          <w:highlight w:val="none"/>
          <w14:textFill>
            <w14:solidFill>
              <w14:schemeClr w14:val="tx1"/>
            </w14:solidFill>
          </w14:textFill>
        </w:rPr>
        <w:t>二、</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十四五</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发展形势</w:t>
      </w:r>
      <w:bookmarkEnd w:id="56"/>
      <w:bookmarkEnd w:id="57"/>
      <w:bookmarkEnd w:id="58"/>
      <w:bookmarkEnd w:id="59"/>
      <w:bookmarkEnd w:id="60"/>
      <w:bookmarkEnd w:id="61"/>
      <w:bookmarkEnd w:id="62"/>
    </w:p>
    <w:p>
      <w:pPr>
        <w:pStyle w:val="5"/>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3" w:name="_Toc31594"/>
      <w:bookmarkStart w:id="64" w:name="_Toc85206512"/>
      <w:bookmarkStart w:id="65" w:name="_Toc80024323"/>
      <w:bookmarkStart w:id="66" w:name="_Toc85183077"/>
      <w:bookmarkStart w:id="67" w:name="_Toc84945324"/>
      <w:bookmarkStart w:id="68" w:name="_Toc533"/>
      <w:bookmarkStart w:id="69" w:name="_Toc85050969"/>
      <w:bookmarkStart w:id="70" w:name="_Toc869898281"/>
      <w:bookmarkStart w:id="71" w:name="_Toc670757354"/>
      <w:bookmarkStart w:id="72" w:name="_Toc2067748690"/>
      <w:bookmarkStart w:id="73" w:name="_Toc332117011"/>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（一）发展机遇</w:t>
      </w:r>
      <w:bookmarkEnd w:id="63"/>
      <w:bookmarkEnd w:id="64"/>
      <w:bookmarkEnd w:id="65"/>
      <w:bookmarkEnd w:id="66"/>
      <w:bookmarkEnd w:id="67"/>
      <w:bookmarkEnd w:id="68"/>
      <w:bookmarkEnd w:id="69"/>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70"/>
      <w:bookmarkEnd w:id="71"/>
      <w:bookmarkEnd w:id="72"/>
      <w:bookmarkEnd w:id="73"/>
    </w:p>
    <w:p>
      <w:pPr>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自</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一带一路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倡议提出以来，沿线国家、地区携手共建人类命运共同体，实现互利共赢、共同发展；随着《区域全面经济伙伴关系协定》（RCEP）正式签署，西部陆海新通道上升为国家战略，平陆运河即将开工建设，广西滨海公路龙门大桥、大风江大桥的开工建设，为钦州深度融入国内国际双循环、全方位深化开放合作带来重大机遇。我国进入新发展阶段，人民对美好生活的向往，为文化广电体育旅游发展拓展了新空间，也对文化广电体育旅游发展提出了更高要求；新一轮科技革命和产业创新带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机会窗口</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，引领现代文化广电体育旅游产业</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治理体系不断健全，为钦州跨越发展提供重要契机。</w:t>
      </w:r>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广西开启文化旅游强区、体育强区建设新征程，全面推进</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壮美广西</w:t>
      </w:r>
      <w:r>
        <w:rPr>
          <w:rFonts w:hint="eastAsia" w:ascii="汉仪大黑简" w:hAnsi="汉仪大黑简" w:eastAsia="汉仪大黑简" w:cs="汉仪大黑简"/>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智慧广电</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工程建设，加快构建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三地两带一中心</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文化旅游产业发展新格局，推动文化旅游产业向集约化、品质化、国际化转变，开启文化旅游强区建设新征程，为钦州深化文化广电体育旅游供给侧改革、丰富高品质文化软实力产品供给带来重大机遇。</w:t>
      </w:r>
    </w:p>
    <w:p>
      <w:pPr>
        <w:pStyle w:val="19"/>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我市</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与自治区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文化和旅游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厅、自治区体育局</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共建北部湾滨海休闲中心城市</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框架协议的签署，必将为钦州文旅融合发展深入实施增添新的活力，为钦州形成产业集聚，拉动旅游消费带来重大机遇；中国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马来西亚钦州产业园区将成为中马两国经贸合作的标志性项目和中国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东盟自由贸易区合作新的典范，钦州港是国家级经济技术开发区，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钦州保税港区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是中国西部沿海唯一的保税港区、全国第五个沿海整车进口口岸，钦州多元的产业基础，将为保障钦州</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文化广电体育旅游发展提供</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良好支撑，为钦州与周边城市优势互补、开放发展带来重要契机。</w:t>
      </w:r>
    </w:p>
    <w:p>
      <w:pPr>
        <w:pStyle w:val="5"/>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74" w:name="_Toc84945325"/>
      <w:bookmarkStart w:id="75" w:name="_Toc23590"/>
      <w:bookmarkStart w:id="76" w:name="_Toc85183078"/>
      <w:bookmarkStart w:id="77" w:name="_Toc80024324"/>
      <w:bookmarkStart w:id="78" w:name="_Toc85050970"/>
      <w:bookmarkStart w:id="79" w:name="_Toc17962"/>
      <w:bookmarkStart w:id="80" w:name="_Toc85206513"/>
      <w:bookmarkStart w:id="81" w:name="_Toc1317949745"/>
      <w:bookmarkStart w:id="82" w:name="_Toc1597089942"/>
      <w:bookmarkStart w:id="83" w:name="_Toc671135929"/>
      <w:bookmarkStart w:id="84" w:name="_Toc1961814194"/>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（二）发展优势</w:t>
      </w:r>
      <w:bookmarkEnd w:id="74"/>
      <w:bookmarkEnd w:id="75"/>
      <w:bookmarkEnd w:id="76"/>
      <w:bookmarkEnd w:id="77"/>
      <w:bookmarkEnd w:id="78"/>
      <w:bookmarkEnd w:id="79"/>
      <w:bookmarkEnd w:id="80"/>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81"/>
      <w:bookmarkEnd w:id="82"/>
      <w:bookmarkEnd w:id="83"/>
      <w:bookmarkEnd w:id="84"/>
    </w:p>
    <w:p>
      <w:pPr>
        <w:pStyle w:val="6"/>
        <w:keepLines w:val="0"/>
        <w:pageBreakBefore w:val="0"/>
        <w:widowControl w:val="0"/>
        <w:kinsoku/>
        <w:wordWrap/>
        <w:overflowPunct/>
        <w:topLinePunct w:val="0"/>
        <w:autoSpaceDE/>
        <w:autoSpaceDN/>
        <w:bidi w:val="0"/>
        <w:adjustRightInd/>
        <w:snapToGrid/>
        <w:spacing w:line="500" w:lineRule="exact"/>
        <w:ind w:firstLine="642" w:firstLineChars="200"/>
        <w:textAlignment w:val="auto"/>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85" w:name="_Toc1033721222"/>
      <w:bookmarkStart w:id="86" w:name="_Toc447161666"/>
      <w:r>
        <w:rPr>
          <w:rFonts w:hint="default" w:ascii="Times New Roman" w:hAnsi="Times New Roman" w:eastAsia="方正仿宋_GBK" w:cs="Times New Roman"/>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沿海开放门户，重要中心枢纽</w:t>
      </w:r>
      <w:bookmarkEnd w:id="85"/>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86"/>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我市</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是我国最早开放的沿海区域之一，是面向东盟开放合作的前沿和西部地区最便捷的出海通道，在国家许多开放发展战略中具有举足轻重的地位。</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中国（广西）自由贸易试验区：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自2019年8月揭牌成立以来，钦州港片区围绕加快打造贯通西部地区、面向东盟的国际大通道，实施了一系列创新试点任务和政策，为加快建设陆海联通门户港、建设中国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中南半岛陆路门户，有机衔接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一带一路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创造了许多优势；</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西部陆海新通道：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钦州主动融入西部陆海新通道的建设，能够充分激活各种招商资源，争取招商引资的大突破，为城市发展提供更大动能；</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北部湾经济区：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钦州作为核心区，充分利用地理优势，已经发展成为北部湾经济区开放开发的核心平台，同时也成为中国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合作以及面向国际开放开发的区域性国际航运中心、物流中心和出口加工基地。钦州作为连通大区域的中心城市与重要枢纽，具有联动南宁、北海、防城港各城市文化旅游发展升级的区位优势，在广西加快文化旅游产业高质量发展、全力推进大健康产业发展的格局中也具有一定的区位优势。</w:t>
      </w:r>
    </w:p>
    <w:p>
      <w:pPr>
        <w:pStyle w:val="6"/>
        <w:numPr>
          <w:ilvl w:val="0"/>
          <w:numId w:val="8"/>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87" w:name="_Toc17875391"/>
      <w:r>
        <w:rPr>
          <w:rFonts w:hint="default" w:ascii="Times New Roman" w:hAnsi="Times New Roman" w:eastAsia="方正仿宋_GBK" w:cs="Times New Roman"/>
          <w:color w:val="000000" w:themeColor="text1"/>
          <w:sz w:val="32"/>
          <w:szCs w:val="32"/>
          <w:highlight w:val="none"/>
          <w14:textFill>
            <w14:solidFill>
              <w14:schemeClr w14:val="tx1"/>
            </w14:solidFill>
          </w14:textFill>
        </w:rPr>
        <w:t>生态资源丰富，文化底蕴深厚</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87"/>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立足</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海</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，特色资源颇具亮点。</w:t>
      </w:r>
      <w:r>
        <w:rPr>
          <w:rFonts w:hint="default" w:ascii="Times New Roman" w:hAnsi="Times New Roman" w:eastAsia="方正仿宋_GBK" w:cs="Times New Roman"/>
          <w:b w:val="0"/>
          <w:bCs w:val="0"/>
          <w:color w:val="000000" w:themeColor="text1"/>
          <w:kern w:val="0"/>
          <w:sz w:val="32"/>
          <w:szCs w:val="32"/>
          <w:highlight w:val="none"/>
          <w:lang w:eastAsia="zh-CN"/>
          <w14:textFill>
            <w14:solidFill>
              <w14:schemeClr w14:val="tx1"/>
            </w14:solidFill>
          </w14:textFill>
        </w:rPr>
        <w:t>我市</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拥有约563公里的海岸线，以及占广西总数一半的海岛，海域总面积达1649平方公里。滨海旅游资源丰富，有红树林自然保护区、龙门群岛</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七十二泾</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、麻蓝岛等海岛资源，有犀丽湾、三娘湾等海岸景区，有茅尾海国家级海洋公园，有钦江、大风江等入海河流，有对虾、大蚝、青蟹和石斑鱼四大著名海产，还有</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海上大熊猫</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之称的中华白海豚。三娘湾中华白海豚数量多、种类全，是特色旅游资源，是钦州旅游的一大亮点。</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围绕</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寿</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，生态旅游丰富多彩。</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浦北县有着</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世界长寿之乡</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的</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美誉，钦州依托五皇山山林生态亮点资源，结合山地生态休闲与养生度假功能，大力</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提升</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五皇山国家地质公园，开发花岗岩奇石、高山草原、梯田、茶园、溪流瀑布等优美自然景观，开展五皇山主题养生度假旅游，实现山地丰富生态资源的高效率利用。</w:t>
      </w:r>
    </w:p>
    <w:p>
      <w:pPr>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筑牢</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，民俗文化源远流长。</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 xml:space="preserve">钦州市拥有英雄文化、千年古陶文化、古村落文化、乡贤文化、海丝文化、古越州文化等色彩鲜明的文化资源。其中，钦州坭兴陶被认定为目前广西最具民族特色的二件宝之一，坭兴陶烧制技艺是国家级非物质文化遗产；大芦古村是广西保护最完好、规模最大的明清建筑群；钦州老街是钦州文化之魂、北部湾文化之根；刘永福、冯子材旧居建筑群，凝聚着爱国主义为核心的精神文化。 </w:t>
      </w:r>
    </w:p>
    <w:p>
      <w:pPr>
        <w:pStyle w:val="5"/>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88" w:name="_Toc28556"/>
      <w:bookmarkStart w:id="89" w:name="_Toc30118"/>
      <w:bookmarkStart w:id="90" w:name="_Toc85183079"/>
      <w:bookmarkStart w:id="91" w:name="_Toc80024325"/>
      <w:bookmarkStart w:id="92" w:name="_Toc85206514"/>
      <w:bookmarkStart w:id="93" w:name="_Toc85050971"/>
      <w:bookmarkStart w:id="94" w:name="_Toc84945326"/>
      <w:bookmarkStart w:id="95" w:name="_Toc1031235059"/>
      <w:bookmarkStart w:id="96" w:name="_Toc892315419"/>
      <w:bookmarkStart w:id="97" w:name="_Toc2136052062"/>
      <w:bookmarkStart w:id="98" w:name="_Toc1561699349"/>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（三）面临挑战</w:t>
      </w:r>
      <w:bookmarkEnd w:id="88"/>
      <w:bookmarkEnd w:id="89"/>
      <w:bookmarkEnd w:id="90"/>
      <w:bookmarkEnd w:id="91"/>
      <w:bookmarkEnd w:id="92"/>
      <w:bookmarkEnd w:id="93"/>
      <w:bookmarkEnd w:id="94"/>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95"/>
      <w:bookmarkEnd w:id="96"/>
      <w:bookmarkEnd w:id="97"/>
      <w:bookmarkEnd w:id="98"/>
    </w:p>
    <w:p>
      <w:pPr>
        <w:pStyle w:val="6"/>
        <w:keepLines w:val="0"/>
        <w:pageBreakBefore w:val="0"/>
        <w:widowControl w:val="0"/>
        <w:kinsoku/>
        <w:wordWrap/>
        <w:overflowPunct/>
        <w:topLinePunct w:val="0"/>
        <w:autoSpaceDE/>
        <w:autoSpaceDN/>
        <w:bidi w:val="0"/>
        <w:adjustRightInd/>
        <w:snapToGrid/>
        <w:spacing w:line="500" w:lineRule="exact"/>
        <w:ind w:firstLine="642" w:firstLineChars="200"/>
        <w:textAlignment w:val="auto"/>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99" w:name="_Toc1935192476"/>
      <w:r>
        <w:rPr>
          <w:rFonts w:hint="default" w:ascii="Times New Roman" w:hAnsi="Times New Roman" w:eastAsia="方正仿宋_GBK" w:cs="Times New Roman"/>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世界形势复杂多变</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99"/>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当前全球经济下行压力持续加大，波动发展、未来经济走势</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具</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有不确定性，错综复杂的国际环境给文化和旅游发展带来多重挑战，国际安全风险点增多，旅游市场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不稳定</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，对外交流合作阻力增加，旅游安全面临挑战。</w:t>
      </w:r>
    </w:p>
    <w:p>
      <w:pPr>
        <w:pStyle w:val="6"/>
        <w:numPr>
          <w:ilvl w:val="0"/>
          <w:numId w:val="9"/>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100" w:name="_Toc1655015572"/>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新冠疫情持续影响</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100"/>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世界新冠肺炎疫情仍不明朗，全国社会经济发展转向国内大循环为主体、国内国际双循环相互促进新发展格局的情况下，如何推出纾困举措，扎实做好疫情防控，有效防止疫情经由文化和旅游活动传播扩散，推动文化旅游产业恢复发展，积极向好，是</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市必须应对的重大挑战。</w:t>
      </w:r>
    </w:p>
    <w:p>
      <w:pPr>
        <w:pStyle w:val="6"/>
        <w:numPr>
          <w:ilvl w:val="0"/>
          <w:numId w:val="10"/>
        </w:numPr>
        <w:spacing w:line="540" w:lineRule="exact"/>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bookmarkStart w:id="101" w:name="_Toc875318123"/>
      <w:r>
        <w:rPr>
          <w:rFonts w:hint="default" w:ascii="Times New Roman" w:hAnsi="Times New Roman" w:eastAsia="方正仿宋_GBK" w:cs="Times New Roman"/>
          <w:color w:val="000000" w:themeColor="text1"/>
          <w:sz w:val="32"/>
          <w:szCs w:val="32"/>
          <w:highlight w:val="none"/>
          <w14:textFill>
            <w14:solidFill>
              <w14:schemeClr w14:val="tx1"/>
            </w14:solidFill>
          </w14:textFill>
        </w:rPr>
        <w:t>内外环境竞争激烈</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bookmarkEnd w:id="101"/>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北海市、防城港市、湛江市、海南省等区内区外周边区域文化软实力发展迅速，对</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我市</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目前发展是一个不小的挑战。</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区内北部湾经济区同质竞争，</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北海打造世界级滨海度假旅游城市，百亿级重大文旅项目群、高星级滨海度假酒店群纷纷落地；防城港山海边联动发展，拥有国家边境旅游试验区、国际医学开放试验区等政策优势。</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区外广东、海南品质竞争，</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湛江等粤港澳大湾区城市在文化和旅游领域加强合作，共建人文湾区和休闲湾区，打造世界级旅游目的地；海南省即将实行全岛封关运作，打造全球最大的自贸港，文化旅游和体育大健康实现跨越式发展。周边区域的文体旅发展，客观上给钦州在吸引投资、市场营销、产业体系打造等方面造成较大竞争压力。</w:t>
      </w:r>
    </w:p>
    <w:p>
      <w:pPr>
        <w:ind w:firstLine="640"/>
        <w:rPr>
          <w:rFonts w:ascii="Times New Roman" w:hAnsi="Times New Roman" w:eastAsia="仿宋_GB2312" w:cs="Times New Roman"/>
          <w:color w:val="000000" w:themeColor="text1"/>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br w:type="page"/>
      </w:r>
    </w:p>
    <w:p>
      <w:pPr>
        <w:pStyle w:val="29"/>
        <w:spacing w:before="190" w:beforeLines="50" w:after="190" w:afterLines="50"/>
        <w:rPr>
          <w:rFonts w:hint="eastAsia" w:ascii="方正小标宋_GBK" w:hAnsi="方正小标宋_GBK" w:eastAsia="方正小标宋_GBK" w:cs="方正小标宋_GBK"/>
          <w:color w:val="000000" w:themeColor="text1"/>
          <w:szCs w:val="44"/>
          <w:highlight w:val="none"/>
          <w14:textFill>
            <w14:solidFill>
              <w14:schemeClr w14:val="tx1"/>
            </w14:solidFill>
          </w14:textFill>
        </w:rPr>
      </w:pPr>
      <w:bookmarkStart w:id="102" w:name="_Toc862744560"/>
      <w:bookmarkStart w:id="103" w:name="_Toc84945327"/>
      <w:bookmarkStart w:id="104" w:name="_Toc713703992"/>
      <w:bookmarkStart w:id="105" w:name="_Toc1853"/>
      <w:bookmarkStart w:id="106" w:name="_Toc1227416487"/>
      <w:bookmarkStart w:id="107" w:name="_Toc1770822871"/>
      <w:r>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t>第二章  发展思路与发展目标</w:t>
      </w:r>
      <w:bookmarkEnd w:id="6"/>
      <w:bookmarkEnd w:id="102"/>
      <w:bookmarkEnd w:id="103"/>
      <w:bookmarkEnd w:id="104"/>
      <w:bookmarkEnd w:id="105"/>
      <w:bookmarkEnd w:id="106"/>
      <w:bookmarkEnd w:id="107"/>
    </w:p>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p>
      <w:pPr>
        <w:pStyle w:val="4"/>
        <w:keepLines w:val="0"/>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108" w:name="_Toc84945328"/>
      <w:bookmarkStart w:id="109" w:name="_Toc482777710"/>
      <w:bookmarkStart w:id="110" w:name="_Toc80024327"/>
      <w:bookmarkStart w:id="111" w:name="_Toc17568"/>
      <w:bookmarkStart w:id="112" w:name="_Toc322118668"/>
      <w:bookmarkStart w:id="113" w:name="_Toc458720021"/>
      <w:bookmarkStart w:id="114" w:name="_Toc117689228"/>
      <w:r>
        <w:rPr>
          <w:rFonts w:hint="default" w:ascii="Times New Roman" w:hAnsi="Times New Roman" w:eastAsia="方正黑体_GBK" w:cs="Times New Roman"/>
          <w:b w:val="0"/>
          <w:bCs w:val="0"/>
          <w:color w:val="000000" w:themeColor="text1"/>
          <w:highlight w:val="none"/>
          <w14:textFill>
            <w14:solidFill>
              <w14:schemeClr w14:val="tx1"/>
            </w14:solidFill>
          </w14:textFill>
        </w:rPr>
        <w:t>一、指导思想</w:t>
      </w:r>
      <w:bookmarkEnd w:id="108"/>
      <w:bookmarkEnd w:id="109"/>
      <w:bookmarkEnd w:id="110"/>
      <w:bookmarkEnd w:id="111"/>
      <w:bookmarkEnd w:id="112"/>
      <w:bookmarkEnd w:id="113"/>
      <w:bookmarkEnd w:id="114"/>
    </w:p>
    <w:p>
      <w:pPr>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坚持以习近平新时代中国特色社会主义思想和习近平总书记关于文化旅游、体育、广电工作的重要论述为指导，</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深入贯彻习近平总书记视察广西重要讲话精神和</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建设壮美广西 共圆复兴梦想</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重要题词精神，认真</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落实党的十九大</w:t>
      </w:r>
      <w:r>
        <w:rPr>
          <w:rFonts w:hint="default"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和</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十九届二中、三中、四中、五中</w:t>
      </w:r>
      <w:r>
        <w:rPr>
          <w:rFonts w:hint="default"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、六中</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全会精神，紧紧围绕</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五位一体</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总体部署和</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四个全面</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战略布局，</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国际化、高质量发展，坚持开放合作、科技创新，围绕举旗帜、聚民心、育新人、兴文化、展形象的使命任务，以推动文化广电体育旅游高质量发展为主题，以供给侧改革为主线，以改革创新为根本动力，以满足人民日益增长的美好生活需要为根本目的，立足新发展阶段、贯彻新发展理念、构建新发展格局，推进文化铸魂、实施文化赋能，推进旅游为民、实施旅游带动，推进广播电视和网络视听一体化发展，提升体育综合竞争力，努力实现文化广电体育旅游融合创新，为钦州建设</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北部湾沿海之心、之芯、之星</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奠定坚实基础，为加快</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实现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港、区、产、城、人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发展愿景</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做出重要贡献。</w:t>
      </w:r>
    </w:p>
    <w:p>
      <w:pPr>
        <w:pStyle w:val="4"/>
        <w:keepLines w:val="0"/>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115" w:name="_Toc1274516960"/>
      <w:bookmarkStart w:id="116" w:name="_Toc103650761"/>
      <w:bookmarkStart w:id="117" w:name="_Toc940237989"/>
      <w:bookmarkStart w:id="118" w:name="_Toc84945329"/>
      <w:bookmarkStart w:id="119" w:name="_Toc80024328"/>
      <w:bookmarkStart w:id="120" w:name="_Toc450181980"/>
      <w:bookmarkStart w:id="121" w:name="_Toc20658"/>
      <w:r>
        <w:rPr>
          <w:rFonts w:hint="default" w:ascii="Times New Roman" w:hAnsi="Times New Roman" w:eastAsia="方正黑体_GBK" w:cs="Times New Roman"/>
          <w:b w:val="0"/>
          <w:bCs w:val="0"/>
          <w:color w:val="000000" w:themeColor="text1"/>
          <w:highlight w:val="none"/>
          <w14:textFill>
            <w14:solidFill>
              <w14:schemeClr w14:val="tx1"/>
            </w14:solidFill>
          </w14:textFill>
        </w:rPr>
        <w:t>二、基本原则</w:t>
      </w:r>
      <w:bookmarkEnd w:id="115"/>
      <w:bookmarkEnd w:id="116"/>
      <w:bookmarkEnd w:id="117"/>
      <w:bookmarkEnd w:id="118"/>
      <w:bookmarkEnd w:id="119"/>
      <w:bookmarkEnd w:id="120"/>
      <w:bookmarkEnd w:id="121"/>
    </w:p>
    <w:p>
      <w:pPr>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坚持正确导向。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新时代</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中国特色社会主义文化发展道路，牢牢把握社会主义先进文化前进方向，坚持把社会效益放在首位，努力实现社会效益和经济效益相统一。坚持以社会主义核心价值观为引领，贯穿于文化广电体育旅游发展各领域、各环节，维护意识形态领域安全，筑牢各民族共有的精神家园。</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坚持以人民为中心</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。坚持以高质量发展为主线，以满足人民群众日益增长的文化</w:t>
      </w:r>
      <w:r>
        <w:rPr>
          <w:rFonts w:hint="eastAsia"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旅游、广电和体育需求作为规划的出发点和落脚点，打造一流的</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游客与市民共享</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的文化</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旅游、广电</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体育服务及消费环境，不断提升特色化、品质化、国际化、智慧化水平。</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坚持改革创新。</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面向东盟对外开放的新要求，抓紧</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西部陆海新通道</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等国家重大战略机遇，积极融入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南向、北联、东融、西合</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全方位开放格局，坚定不移推进文化、旅游、广电、体育领域深层次改革，以贸易投资自由便利为重点，推进文化、旅游、广电、体育领域高水平对外开放。</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坚持融合发展。</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强化系统观念，推动文化广电体育旅游在更广范围、更深层次、更高水平上深度融合，积极推进文化广电体育旅游与农业、工业、健康、教育、医疗、科技、康养、金融等其他领域融合互促，持续增强产业间融合发展的动力与活力，不断提高发展质量和综合效益。</w:t>
      </w:r>
    </w:p>
    <w:p>
      <w:pPr>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坚持绿色发展。</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正确处理生态保护和文化、广电、体育、旅游发展的关系，坚持生态优先、绿色发展的原则，精心呵护好钦州的山山水水，发挥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金不换</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生态优势，运用好蓝色海洋、绿色生态、红色历史、多彩民俗的资源特色，在打造钦州特色产品、特色服务的基础上，严守生态保护红线、环境质量底线、资源利用上线，加强防范化解安全生产、环境等各类风险，助力生态美丽幸福平安钦州建设。</w:t>
      </w:r>
    </w:p>
    <w:p>
      <w:pPr>
        <w:pStyle w:val="4"/>
        <w:keepLines w:val="0"/>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122" w:name="_Toc84945330"/>
      <w:bookmarkStart w:id="123" w:name="_Toc1200348705"/>
      <w:bookmarkStart w:id="124" w:name="_Toc1130247648"/>
      <w:bookmarkStart w:id="125" w:name="_Toc1856102231"/>
      <w:bookmarkStart w:id="126" w:name="_Toc20410"/>
      <w:bookmarkStart w:id="127" w:name="_Toc80024329"/>
      <w:bookmarkStart w:id="128" w:name="_Toc1771490754"/>
      <w:r>
        <w:rPr>
          <w:rFonts w:hint="default" w:ascii="Times New Roman" w:hAnsi="Times New Roman" w:eastAsia="方正黑体_GBK" w:cs="Times New Roman"/>
          <w:b w:val="0"/>
          <w:bCs w:val="0"/>
          <w:color w:val="000000" w:themeColor="text1"/>
          <w:highlight w:val="none"/>
          <w14:textFill>
            <w14:solidFill>
              <w14:schemeClr w14:val="tx1"/>
            </w14:solidFill>
          </w14:textFill>
        </w:rPr>
        <w:t>三、发展定位</w:t>
      </w:r>
      <w:bookmarkEnd w:id="122"/>
      <w:bookmarkEnd w:id="123"/>
      <w:bookmarkEnd w:id="124"/>
      <w:bookmarkEnd w:id="125"/>
      <w:bookmarkEnd w:id="126"/>
      <w:bookmarkEnd w:id="127"/>
      <w:bookmarkEnd w:id="128"/>
    </w:p>
    <w:p>
      <w:pPr>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b w:val="0"/>
          <w:bCs w:val="0"/>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抓住广西打造</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三地两带一中心</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文化旅游产业发展新格局，紧紧围绕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港、区、产、城、人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战略部署，以文广体旅融合发展为主线，进一步深化钦州文广体旅融合发展体制机制改革，打造新时代文化艺术精品，发展具有滨海特色的文广体旅项目，提升城市品质，形成产业集聚，拉动旅游消费，面向东盟，联动粤港澳大湾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将</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钦州打造成</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岭南风格、滨海风光、宜居康养的</w:t>
      </w:r>
      <w:r>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t>北部湾滨海休闲中心城市。</w:t>
      </w:r>
    </w:p>
    <w:p>
      <w:pPr>
        <w:pStyle w:val="4"/>
        <w:keepLines w:val="0"/>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129" w:name="_Toc1232493295"/>
      <w:bookmarkStart w:id="130" w:name="_Toc844093413"/>
      <w:bookmarkStart w:id="131" w:name="_Toc22808"/>
      <w:bookmarkStart w:id="132" w:name="_Toc84945331"/>
      <w:bookmarkStart w:id="133" w:name="_Toc80024336"/>
      <w:bookmarkStart w:id="134" w:name="_Toc1918361753"/>
      <w:bookmarkStart w:id="135" w:name="_Toc1633229560"/>
      <w:r>
        <w:rPr>
          <w:rFonts w:hint="default" w:ascii="Times New Roman" w:hAnsi="Times New Roman" w:eastAsia="方正黑体_GBK" w:cs="Times New Roman"/>
          <w:b w:val="0"/>
          <w:bCs w:val="0"/>
          <w:color w:val="000000" w:themeColor="text1"/>
          <w:highlight w:val="none"/>
          <w14:textFill>
            <w14:solidFill>
              <w14:schemeClr w14:val="tx1"/>
            </w14:solidFill>
          </w14:textFill>
        </w:rPr>
        <w:t>四、发展目标</w:t>
      </w:r>
      <w:bookmarkEnd w:id="129"/>
      <w:bookmarkEnd w:id="130"/>
      <w:bookmarkEnd w:id="131"/>
      <w:bookmarkEnd w:id="132"/>
      <w:bookmarkEnd w:id="133"/>
      <w:bookmarkEnd w:id="134"/>
      <w:bookmarkEnd w:id="135"/>
    </w:p>
    <w:p>
      <w:pPr>
        <w:pStyle w:val="19"/>
        <w:keepLines w:val="0"/>
        <w:pageBreakBefore w:val="0"/>
        <w:widowControl w:val="0"/>
        <w:kinsoku/>
        <w:wordWrap/>
        <w:overflowPunct/>
        <w:topLinePunct w:val="0"/>
        <w:autoSpaceDE/>
        <w:autoSpaceDN/>
        <w:bidi w:val="0"/>
        <w:adjustRightInd/>
        <w:snapToGrid/>
        <w:spacing w:line="500" w:lineRule="exact"/>
        <w:ind w:left="0" w:leftChars="0" w:firstLine="642" w:firstLineChars="20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十四五</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目标：</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到2025年，全市文化、广电、体育和旅游行业实现高质量融合发展，提升文广体旅服务供给能力。推进钦州市申报国家旅游休闲城市、海丝文化遗产城市、国家历史文化名城，钦州老街创建国家级旅游休闲街区、国家级夜间文化和旅游消费集聚区，三娘湾创建国家</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AAAA</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A级旅游景区，三娘湾、茅尾海、五皇山创建国家级旅游度假区。高品质文化和旅游公共服务体系基本形成，文旅综合治理能力现代化水平不断提高，现代文旅产业体系基本建立，文旅品牌传播和交流合作进一步强化。预计年接待国内游客6500万人次，国内旅游年消费达到650亿元；文艺创作繁荣发展，创作一批高质量作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全市国家级非物质文化遗产项目达到3项，自治区级非物质文化遗产项目争取达到50项，钦州市非物质文化遗产代表性项目得到有效保护；文物保护利用水平进一步提升，文博队伍不断壮大，争取全国重点文物保护单位达到4处，自治区文物保护单位28处。</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做强做大全市广播电视和网络视听事业和产业，</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智慧广电+</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得到进一步发展，广电5G基本实现全市行政村以上</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覆盖，广播电视安全保障能力得到全面提升；预计人均体育场面积达2.6</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平方米</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/人，15分钟健身圈在城市社区的覆盖率达100%，镇（街道）健身设施建成率达100%，行政村农民体育健身工程覆盖率达100%。到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末期，文化和旅游强市建设取得新突破，广播电视实现智慧化</w:t>
      </w:r>
      <w:r>
        <w:rPr>
          <w:rFonts w:hint="default" w:ascii="Times New Roman" w:hAnsi="Times New Roman" w:eastAsia="方正仿宋_GBK" w:cs="Times New Roman"/>
          <w:b w:val="0"/>
          <w:bCs w:val="0"/>
          <w:color w:val="000000" w:themeColor="text1"/>
          <w:kern w:val="0"/>
          <w:sz w:val="32"/>
          <w:szCs w:val="32"/>
          <w:highlight w:val="none"/>
          <w14:textFill>
            <w14:solidFill>
              <w14:schemeClr w14:val="tx1"/>
            </w14:solidFill>
          </w14:textFill>
        </w:rPr>
        <w:t>生产</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，体育竞争力进入自治区中上水平。</w:t>
      </w:r>
    </w:p>
    <w:p>
      <w:pPr>
        <w:pStyle w:val="19"/>
        <w:keepNext w:val="0"/>
        <w:keepLines w:val="0"/>
        <w:pageBreakBefore w:val="0"/>
        <w:widowControl w:val="0"/>
        <w:kinsoku/>
        <w:wordWrap/>
        <w:overflowPunct/>
        <w:topLinePunct w:val="0"/>
        <w:autoSpaceDE/>
        <w:autoSpaceDN/>
        <w:bidi w:val="0"/>
        <w:adjustRightInd/>
        <w:snapToGrid/>
        <w:spacing w:line="500" w:lineRule="exact"/>
        <w:ind w:left="0" w:leftChars="0" w:firstLine="642" w:firstLineChars="200"/>
        <w:textAlignment w:val="auto"/>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远景目标：</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到2035年，文艺创作全面繁荣，公共文化服务水平全面提升，现代文化产业体系全面建立，文化软实力充分凸显，旅游产业和业态全面升级，旅游综合影响力和国际化程度大幅提高，建成文化和旅游强市。广播电视网成为智慧城市、智慧乡村的主流承载网络，广播电视公共服务均等化，全面提升技术治网能力和水平，实现广播电视台站标准化规范化建设。形成体育强市基本框架，体育的创造力、生命力、大众亲和力充分彰显，体育消费水平大幅提升，体育产业成为国民经济新的增长点。</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136" w:name="_Toc84945332"/>
      <w:bookmarkStart w:id="137" w:name="_Toc85050977"/>
      <w:bookmarkStart w:id="138" w:name="_Toc85206520"/>
      <w:bookmarkStart w:id="139" w:name="_Toc6413"/>
      <w:bookmarkStart w:id="140" w:name="_Toc85183085"/>
      <w:bookmarkStart w:id="141" w:name="_Toc10945"/>
      <w:bookmarkStart w:id="142" w:name="_Toc1631002031"/>
      <w:bookmarkStart w:id="143" w:name="_Toc2013601112"/>
      <w:bookmarkStart w:id="144" w:name="_Toc1583711637"/>
      <w:bookmarkStart w:id="145" w:name="_Toc119735830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（一）文化保护常态化，文艺创作精品化</w:t>
      </w:r>
      <w:bookmarkEnd w:id="136"/>
      <w:bookmarkEnd w:id="137"/>
      <w:bookmarkEnd w:id="138"/>
      <w:bookmarkEnd w:id="139"/>
      <w:bookmarkEnd w:id="140"/>
      <w:bookmarkEnd w:id="14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142"/>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——文化遗产保护传承利用水平进一步提升。</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积极推动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钦州</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海上丝绸之路</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申报世界文化遗产</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。积极组织申报和升级一批文物保护单位，争取越州故城申报广西考古遗址公园。文物、非物质文化遗产和古籍基本实现系统性保护，全国重点文物保护单位</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四有</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工作完成100%，国有博物馆建有安防系统比例达100%，非物质文化遗产保护体系与传承机制基本健全，积极推动钦州坭兴陶烧制技艺申报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人类非物质文化遗产代表作名录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，积极创建钦州坭兴陶国家级文化生态保护区。深入挖掘海丝文化、坭兴陶文化、长寿文化、非遗文化，打造本土文化品牌。</w:t>
      </w:r>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bCs/>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——文艺精品创作登</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高原</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攀</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高峰</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kern w:val="0"/>
          <w:sz w:val="32"/>
          <w:szCs w:val="32"/>
          <w:highlight w:val="none"/>
          <w14:textFill>
            <w14:solidFill>
              <w14:schemeClr w14:val="tx1"/>
            </w14:solidFill>
          </w14:textFill>
        </w:rPr>
        <w:t>树立以人民为中心的创作导向，积极引导广大文艺工作者深入生活、扎根人民，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坚持精品意识，以现实题材为重点，紧紧围绕</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北部湾滨海休闲中心城市和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重大时间节点、国家重大战略和其他重大主题谋划创作选题。突出选题的思想性、时代性，提高剧本创作的原创能力，创作一批具有接地气、传得开、留得下的优秀文艺作品。</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146" w:name="_Toc85206521"/>
      <w:bookmarkStart w:id="147" w:name="_Toc85183086"/>
      <w:bookmarkStart w:id="148" w:name="_Toc743"/>
      <w:bookmarkStart w:id="149" w:name="_Toc85050978"/>
      <w:bookmarkStart w:id="150" w:name="_Toc84945333"/>
      <w:bookmarkStart w:id="151" w:name="_Toc13996"/>
      <w:bookmarkStart w:id="152" w:name="_Toc418886569"/>
      <w:bookmarkStart w:id="153" w:name="_Toc601235342"/>
      <w:bookmarkStart w:id="154" w:name="_Toc1830457276"/>
      <w:bookmarkStart w:id="155" w:name="_Toc716824736"/>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（二）公共服务体系品质化，治理体系标准化</w:t>
      </w:r>
      <w:bookmarkEnd w:id="146"/>
      <w:bookmarkEnd w:id="147"/>
      <w:bookmarkEnd w:id="148"/>
      <w:bookmarkEnd w:id="149"/>
      <w:bookmarkEnd w:id="150"/>
      <w:bookmarkEnd w:id="15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152"/>
      <w:bookmarkEnd w:id="153"/>
      <w:bookmarkEnd w:id="154"/>
      <w:bookmarkEnd w:id="155"/>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——高品质公共服务体系基本形成。</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到2025年，全市现代公共文化服务体系更加健全，完善市、县区、镇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行政</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村</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（社区）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文化信息共享工程，全市建成30座以上</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城市智慧书屋</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滨海书屋</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和</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文旅驿站</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 xml:space="preserve">，8个以上群众文化活动（示范）基地。旅游公共服务体系得到进一步完善，文化旅游集散中心服务效率得到提高，智慧文旅服务体系基本建成，持续推进旅游厕所建设改造工程，打造北部湾滨海国家风景道；强化文化旅游服务提质工程建设，营造友好型旅游服务氛围。智慧广电服务体系进一步完善，力争实现有条件的35户以上自然村光缆联网，形成覆盖城乡、便捷高效、功能完备、服务到户的新型广播电视覆盖服务体系。 </w:t>
      </w:r>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——文旅现代综合治理体系进一步完善。</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到2025年，文化旅游市场现代化治理能力进一步提升，文化旅游市场繁荣有序，市场在文化旅游资源配置中的作用得到更好发挥。建立文化旅游市场主体信用评价动态管理制度，提升文化旅游市场监管现代化、智能化水平。文化旅游市场监管</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安全机制得到完善，市场监管能力不断提高。</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156" w:name="_Toc12357"/>
      <w:bookmarkStart w:id="157" w:name="_Toc85206522"/>
      <w:bookmarkStart w:id="158" w:name="_Toc85183087"/>
      <w:bookmarkStart w:id="159" w:name="_Toc84945334"/>
      <w:bookmarkStart w:id="160" w:name="_Toc14744"/>
      <w:bookmarkStart w:id="161" w:name="_Toc85050979"/>
      <w:bookmarkStart w:id="162" w:name="_Toc869602808"/>
      <w:bookmarkStart w:id="163" w:name="_Toc1732355264"/>
      <w:bookmarkStart w:id="164" w:name="_Toc731310696"/>
      <w:bookmarkStart w:id="165" w:name="_Toc1987805258"/>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（三）文旅产业体系化，文旅传播品牌化</w:t>
      </w:r>
      <w:bookmarkEnd w:id="156"/>
      <w:bookmarkEnd w:id="157"/>
      <w:bookmarkEnd w:id="158"/>
      <w:bookmarkEnd w:id="159"/>
      <w:bookmarkEnd w:id="160"/>
      <w:bookmarkEnd w:id="16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162"/>
      <w:bookmarkEnd w:id="163"/>
      <w:bookmarkEnd w:id="164"/>
      <w:bookmarkEnd w:id="165"/>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——现代文旅产业体系基本建立。</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到2025年，文化旅游产业规模持续增长，国内旅游人数突破6500万人次，旅游业总消费超过650亿元。文化旅游产业规模力争跃居广西中上游，国内外知名度进一步提升。重点建设钦州坭兴陶国家级文化产业示范园区，积极打造文化特色鲜明的钦州老街国家级旅游休闲街区，新增自治区级旅游度假区2</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3家，并积极推动创建国家级旅游度假区；新增国家</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A</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AAAA级旅游景</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区</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1家，</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国家AAAA级旅游景</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4</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5家、国家AAA级旅游景区10</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14家。打造主题度假酒店、特色乡村民宿，培育市场化新型住宿业态；新增全国乡村旅游重点村1</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2个。</w:t>
      </w:r>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——文旅品牌传播与交流合作得以进一步强化。</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到2025年，将</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休闲港湾·亲近钦州</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培育成北部湾滨海休闲中心的引领品牌。围绕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爱和勇气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主题，打造</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英雄钦州</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休闲</w:t>
      </w:r>
      <w:r>
        <w:rPr>
          <w:rFonts w:hint="default" w:ascii="Times New Roman" w:hAnsi="Times New Roman" w:eastAsia="方正仿宋_GBK" w:cs="Times New Roman"/>
          <w:bCs/>
          <w:color w:val="000000" w:themeColor="text1"/>
          <w:kern w:val="0"/>
          <w:sz w:val="32"/>
          <w:szCs w:val="32"/>
          <w:highlight w:val="none"/>
          <w14:textFill>
            <w14:solidFill>
              <w14:schemeClr w14:val="tx1"/>
            </w14:solidFill>
          </w14:textFill>
        </w:rPr>
        <w:t>钦州</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kern w:val="0"/>
          <w:sz w:val="32"/>
          <w:szCs w:val="32"/>
          <w:highlight w:val="none"/>
          <w14:textFill>
            <w14:solidFill>
              <w14:schemeClr w14:val="tx1"/>
            </w14:solidFill>
          </w14:textFill>
        </w:rPr>
        <w:t>康养钦州</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食在钦州</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钦州有礼</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等文旅</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品牌。培育一批旅游产品及节庆赛事品牌，重点打造钦州蚝情节、千年坭兴陶古龙窑火祭仪式、灵山荔枝文化旅游节、</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三月三嘉年华</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、钦州老街城市定向挑战赛等节庆赛事品牌。积极举行</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关丹日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文化交流活动，积极参与中国文化年、海外</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欢乐春节</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等重大文化交流活动，展现钦州风采、讲好钦州故事，全面提升滨海休闲钦州文旅形象。</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166" w:name="_Toc85183088"/>
      <w:bookmarkStart w:id="167" w:name="_Toc19273"/>
      <w:bookmarkStart w:id="168" w:name="_Toc85206523"/>
      <w:bookmarkStart w:id="169" w:name="_Toc3914"/>
      <w:bookmarkStart w:id="170" w:name="_Toc84945335"/>
      <w:bookmarkStart w:id="171" w:name="_Toc85050980"/>
      <w:bookmarkStart w:id="172" w:name="_Toc716749433"/>
      <w:bookmarkStart w:id="173" w:name="_Toc1436012101"/>
      <w:bookmarkStart w:id="174" w:name="_Toc618888205"/>
      <w:bookmarkStart w:id="175" w:name="_Toc1972984434"/>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（四）广电设施现代化，广电网络智慧化</w:t>
      </w:r>
      <w:bookmarkEnd w:id="166"/>
      <w:bookmarkEnd w:id="167"/>
      <w:bookmarkEnd w:id="168"/>
      <w:bookmarkEnd w:id="169"/>
      <w:bookmarkEnd w:id="170"/>
      <w:bookmarkEnd w:id="17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172"/>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——广电基础设施不断优化。</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继续推动广西广播电视技术中心钦州分中心、灵山县融媒体中心、浦北县融媒体中心的广播电视办公室、演播大厅、无线发射台站机房、演播室等基础设施建设，对现有老化设备进行更新，优化广播电视台基础设施、无线发射台基站，全面提升广电基础设施水平。完成钦州中波台、灵山中波台整体搬迁工作</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。力争智慧广电入户率达60</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广播电视网成为智慧城市、智慧乡村、智慧旅游、智慧教育的主流承载网络，为营造和谐社会、巩固意识形态打下良好基础。</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——智慧广电生态链基本建成。</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加快全市各级广播电视台主要电视频道、有线电视网络、无线传输高清化改造，为全市人民提供高质量的电视节目供给。积极开展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高清电视普及</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行动、5G＋4K超高清电视试点</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工作</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积极推动有线电视网络开展4K超高清电视直播及视频点播业务，不断普及电视终端4K超高清化，并逐步向8K超高清化方向发展。到2025年底，鼓励县级播出机构完成高清化改造，力争全市80%以上有线电视用户可收看到4K超高清电视节目。</w:t>
      </w:r>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——推动广电5G网络建设及应用。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配合做好广电5G基站建设，到2025年，广电5G基本实现全市行政村以上</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覆盖。加快推动广电5G赋能公共服务转型升级，推动有线无线、广播通信、大屏小屏协同发展。充分发挥广电企业的媒体平台、内容资源和网络传输作用，挖掘广电5G应用场景，重点在广播、超高清视频、智慧文旅、智慧医疗、智慧教育、智慧安防等领域拓展广电5G的创新和应用。</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default" w:ascii="Times New Roman" w:hAnsi="Times New Roman" w:eastAsia="楷体" w:cs="Times New Roman"/>
          <w:b w:val="0"/>
          <w:bCs w:val="0"/>
          <w:color w:val="000000" w:themeColor="text1"/>
          <w:sz w:val="32"/>
          <w:highlight w:val="none"/>
          <w:lang w:eastAsia="zh-CN"/>
          <w14:textFill>
            <w14:solidFill>
              <w14:schemeClr w14:val="tx1"/>
            </w14:solidFill>
          </w14:textFill>
        </w:rPr>
      </w:pPr>
      <w:bookmarkStart w:id="176" w:name="_Toc15191"/>
      <w:bookmarkStart w:id="177" w:name="_Toc85183089"/>
      <w:bookmarkStart w:id="178" w:name="_Toc9539"/>
      <w:bookmarkStart w:id="179" w:name="_Toc85206524"/>
      <w:bookmarkStart w:id="180" w:name="_Toc85050981"/>
      <w:bookmarkStart w:id="181" w:name="_Toc84945336"/>
      <w:bookmarkStart w:id="182" w:name="_Toc654888807"/>
      <w:bookmarkStart w:id="183" w:name="_Toc1718736358"/>
      <w:bookmarkStart w:id="184" w:name="_Toc1582077590"/>
      <w:bookmarkStart w:id="185" w:name="_Toc2121065487"/>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（五）体育产业多元化，全民健身生活化</w:t>
      </w:r>
      <w:bookmarkEnd w:id="176"/>
      <w:bookmarkEnd w:id="177"/>
      <w:bookmarkEnd w:id="178"/>
      <w:bookmarkEnd w:id="179"/>
      <w:bookmarkEnd w:id="180"/>
      <w:bookmarkEnd w:id="18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182"/>
      <w:bookmarkEnd w:id="183"/>
      <w:bookmarkEnd w:id="184"/>
      <w:bookmarkEnd w:id="185"/>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——体育产业发展不断壮大。</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积极发展和壮大现代体育产业体系，</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大力发展滨海运动，积极发展山地、低空运动，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打造城市定向赛、马拉松、自行车、山地户外、汽车露营、水上运动及低空飞翔运动等系列特色赛事活动，推动</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体育+</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+体育</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融合发展，引领群众体育消费新时尚，</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提升体育消费水平，</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培育体育产业发展新动能。</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——竞技和青少年体育全面提高。</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深入转变竞技体育发展方式，突出打造优势项目，加强体校建设，提升训练水平，巩固举重、跳水、蹦床、射击、田径等优势项目，提升篮球、足球等运动水平，发展水上运动，力争在全区重大比赛中取得优异成绩。到2025年，实现各县区均建有1所二集中或三集中式的标准体校。争取每年向上级运动队输送20名以上后备人才。全市青少年体育后备人才队伍保持在2000人以上。</w:t>
      </w:r>
    </w:p>
    <w:p>
      <w:pPr>
        <w:spacing w:line="540" w:lineRule="exact"/>
        <w:ind w:firstLine="643"/>
        <w:rPr>
          <w:rFonts w:ascii="Times New Roman" w:hAnsi="Times New Roman" w:eastAsia="仿宋_GB2312"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——全民健身公共服务体系更加完善。</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构建等级明晰、功能完善、设施齐全、活动丰富、满足广大市民体育健身需求的全民健身服务体系，县区、镇（街道）、行政村（社区）三级公共健身设施和社区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15分钟健身</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圈实现全覆盖，国民体质测定标准达到合格水平以上的城乡居民比例达到90%以上。</w:t>
      </w:r>
    </w:p>
    <w:p>
      <w:pPr>
        <w:pStyle w:val="19"/>
        <w:ind w:left="1122" w:hanging="562"/>
        <w:jc w:val="center"/>
        <w:rPr>
          <w:rFonts w:hint="eastAsia" w:ascii="方正楷体_GBK" w:hAnsi="方正楷体_GBK" w:eastAsia="方正楷体_GBK" w:cs="方正楷体_GBK"/>
          <w:b w:val="0"/>
          <w:bCs w:val="0"/>
          <w:color w:val="000000" w:themeColor="text1"/>
          <w:kern w:val="0"/>
          <w:szCs w:val="28"/>
          <w:highlight w:val="none"/>
          <w14:textFill>
            <w14:solidFill>
              <w14:schemeClr w14:val="tx1"/>
            </w14:solidFill>
          </w14:textFill>
        </w:rPr>
      </w:pPr>
      <w:bookmarkStart w:id="186" w:name="_Toc80024339"/>
      <w:bookmarkStart w:id="187" w:name="_Toc84945337"/>
      <w:r>
        <w:rPr>
          <w:rFonts w:hint="eastAsia" w:ascii="方正楷体_GBK" w:hAnsi="方正楷体_GBK" w:eastAsia="方正楷体_GBK" w:cs="方正楷体_GBK"/>
          <w:b w:val="0"/>
          <w:bCs w:val="0"/>
          <w:color w:val="000000" w:themeColor="text1"/>
          <w:kern w:val="0"/>
          <w:szCs w:val="28"/>
          <w:highlight w:val="none"/>
          <w14:textFill>
            <w14:solidFill>
              <w14:schemeClr w14:val="tx1"/>
            </w14:solidFill>
          </w14:textFill>
        </w:rPr>
        <w:t>表</w:t>
      </w:r>
      <w:r>
        <w:rPr>
          <w:rFonts w:hint="default" w:ascii="Times New Roman" w:hAnsi="Times New Roman" w:eastAsia="方正楷体_GBK" w:cs="Times New Roman"/>
          <w:b w:val="0"/>
          <w:bCs w:val="0"/>
          <w:color w:val="000000" w:themeColor="text1"/>
          <w:kern w:val="0"/>
          <w:szCs w:val="28"/>
          <w:highlight w:val="none"/>
          <w14:textFill>
            <w14:solidFill>
              <w14:schemeClr w14:val="tx1"/>
            </w14:solidFill>
          </w14:textFill>
        </w:rPr>
        <w:t>2-1</w:t>
      </w:r>
      <w:r>
        <w:rPr>
          <w:rFonts w:hint="eastAsia" w:ascii="方正楷体_GBK" w:hAnsi="方正楷体_GBK" w:eastAsia="方正楷体_GBK" w:cs="方正楷体_GBK"/>
          <w:b w:val="0"/>
          <w:bCs w:val="0"/>
          <w:color w:val="000000" w:themeColor="text1"/>
          <w:kern w:val="0"/>
          <w:szCs w:val="28"/>
          <w:highlight w:val="none"/>
          <w14:textFill>
            <w14:solidFill>
              <w14:schemeClr w14:val="tx1"/>
            </w14:solidFill>
          </w14:textFill>
        </w:rPr>
        <w:t xml:space="preserve"> 钦州市文旅广体</w:t>
      </w:r>
      <w:r>
        <w:rPr>
          <w:rFonts w:hint="eastAsia" w:ascii="方正楷体_GBK" w:hAnsi="方正楷体_GBK" w:eastAsia="方正楷体_GBK" w:cs="方正楷体_GBK"/>
          <w:b w:val="0"/>
          <w:bCs w:val="0"/>
          <w:color w:val="000000" w:themeColor="text1"/>
          <w:kern w:val="0"/>
          <w:szCs w:val="28"/>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kern w:val="0"/>
          <w:szCs w:val="28"/>
          <w:highlight w:val="none"/>
          <w14:textFill>
            <w14:solidFill>
              <w14:schemeClr w14:val="tx1"/>
            </w14:solidFill>
          </w14:textFill>
        </w:rPr>
        <w:t>十四五</w:t>
      </w:r>
      <w:r>
        <w:rPr>
          <w:rFonts w:hint="eastAsia" w:ascii="方正楷体_GBK" w:hAnsi="方正楷体_GBK" w:eastAsia="方正楷体_GBK" w:cs="方正楷体_GBK"/>
          <w:b w:val="0"/>
          <w:bCs w:val="0"/>
          <w:color w:val="000000" w:themeColor="text1"/>
          <w:kern w:val="0"/>
          <w:szCs w:val="28"/>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kern w:val="0"/>
          <w:szCs w:val="28"/>
          <w:highlight w:val="none"/>
          <w14:textFill>
            <w14:solidFill>
              <w14:schemeClr w14:val="tx1"/>
            </w14:solidFill>
          </w14:textFill>
        </w:rPr>
        <w:t>发展核心指标表</w:t>
      </w:r>
    </w:p>
    <w:tbl>
      <w:tblPr>
        <w:tblStyle w:val="31"/>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4725"/>
        <w:gridCol w:w="1596"/>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007" w:type="dxa"/>
            <w:gridSpan w:val="4"/>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方正仿宋_GBK" w:cs="Times New Roman"/>
                <w:b/>
                <w:bCs/>
                <w:color w:val="000000" w:themeColor="text1"/>
                <w:sz w:val="24"/>
                <w:szCs w:val="28"/>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8"/>
                <w:highlight w:val="none"/>
                <w14:textFill>
                  <w14:solidFill>
                    <w14:schemeClr w14:val="tx1"/>
                  </w14:solidFill>
                </w14:textFill>
              </w:rPr>
              <w:t>一、文化发展核心指标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序号</w:t>
            </w:r>
          </w:p>
        </w:tc>
        <w:tc>
          <w:tcPr>
            <w:tcW w:w="4725"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指标</w:t>
            </w:r>
          </w:p>
        </w:tc>
        <w:tc>
          <w:tcPr>
            <w:tcW w:w="1596"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2020年</w:t>
            </w:r>
          </w:p>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实际数</w:t>
            </w:r>
          </w:p>
        </w:tc>
        <w:tc>
          <w:tcPr>
            <w:tcW w:w="1788"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2025年</w:t>
            </w:r>
          </w:p>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每万人群众公共文化设施面积（</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平方米</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107</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w:t>
            </w:r>
          </w:p>
        </w:tc>
        <w:tc>
          <w:tcPr>
            <w:tcW w:w="4725" w:type="dxa"/>
            <w:vAlign w:val="center"/>
          </w:tcPr>
          <w:p>
            <w:pPr>
              <w:spacing w:line="340" w:lineRule="exact"/>
              <w:ind w:firstLine="0" w:firstLineChars="0"/>
              <w:jc w:val="both"/>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每万人拥有公共图书馆面积（</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平方米</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46</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公共图书馆图书人均藏量（册）</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0.21</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城市书房、滨海书屋、文旅驿站（个）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新创作剧（节）目</w:t>
            </w:r>
            <w:r>
              <w:rPr>
                <w:rFonts w:hint="default" w:ascii="Times New Roman" w:hAnsi="Times New Roman" w:eastAsia="方正仿宋_GBK" w:cs="Times New Roman"/>
                <w:color w:val="000000" w:themeColor="text1"/>
                <w:spacing w:val="-6"/>
                <w:sz w:val="28"/>
                <w:szCs w:val="28"/>
                <w:highlight w:val="none"/>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部（个）</w:t>
            </w:r>
            <w:r>
              <w:rPr>
                <w:rFonts w:hint="default" w:ascii="Times New Roman" w:hAnsi="Times New Roman" w:eastAsia="方正仿宋_GBK" w:cs="Times New Roman"/>
                <w:color w:val="000000" w:themeColor="text1"/>
                <w:spacing w:val="-6"/>
                <w:sz w:val="28"/>
                <w:szCs w:val="28"/>
                <w:highlight w:val="none"/>
                <w14:textFill>
                  <w14:solidFill>
                    <w14:schemeClr w14:val="tx1"/>
                  </w14:solidFill>
                </w14:textFill>
              </w:rPr>
              <w:t>〕</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00</w:t>
            </w:r>
            <w:r>
              <w:rPr>
                <w:rFonts w:hint="default" w:ascii="Times New Roman" w:hAnsi="Times New Roman" w:eastAsia="方正仿宋_GBK" w:cs="Times New Roman"/>
                <w:color w:val="000000" w:themeColor="text1"/>
                <w:spacing w:val="-6"/>
                <w:sz w:val="28"/>
                <w:szCs w:val="28"/>
                <w:highlight w:val="none"/>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其中获国家级奖项2</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部（个）</w:t>
            </w:r>
            <w:r>
              <w:rPr>
                <w:rFonts w:hint="default" w:ascii="Times New Roman" w:hAnsi="Times New Roman" w:eastAsia="方正仿宋_GBK" w:cs="Times New Roman"/>
                <w:color w:val="000000" w:themeColor="text1"/>
                <w:spacing w:val="-6"/>
                <w:sz w:val="28"/>
                <w:szCs w:val="2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文物保护单位（处）</w:t>
            </w:r>
          </w:p>
        </w:tc>
        <w:tc>
          <w:tcPr>
            <w:tcW w:w="1596" w:type="dxa"/>
            <w:vAlign w:val="center"/>
          </w:tcPr>
          <w:p>
            <w:pPr>
              <w:spacing w:line="340" w:lineRule="exact"/>
              <w:ind w:firstLine="0" w:firstLineChars="0"/>
              <w:jc w:val="left"/>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114（其中国家级3处，自治区级25处）</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118（其中国家级4处，自治区级28处）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非物质文化遗产代表性项目（</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项</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p>
        </w:tc>
        <w:tc>
          <w:tcPr>
            <w:tcW w:w="1596" w:type="dxa"/>
            <w:vAlign w:val="center"/>
          </w:tcPr>
          <w:p>
            <w:pPr>
              <w:spacing w:line="340" w:lineRule="exact"/>
              <w:ind w:firstLine="0" w:firstLineChars="0"/>
              <w:jc w:val="left"/>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62（其中国家级2项，自治区级29项）</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100（其中国家级3项，自治区级50项）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11"/>
                <w:sz w:val="24"/>
                <w:szCs w:val="24"/>
                <w:highlight w:val="none"/>
                <w:lang w:eastAsia="zh-CN"/>
                <w14:textFill>
                  <w14:solidFill>
                    <w14:schemeClr w14:val="tx1"/>
                  </w14:solidFill>
                </w14:textFill>
              </w:rPr>
              <w:t>非物质文化遗产代表性项目代表性传承人（</w:t>
            </w:r>
            <w:r>
              <w:rPr>
                <w:rFonts w:hint="default" w:ascii="Times New Roman" w:hAnsi="Times New Roman" w:eastAsia="方正仿宋_GBK" w:cs="Times New Roman"/>
                <w:color w:val="000000" w:themeColor="text1"/>
                <w:spacing w:val="-11"/>
                <w:sz w:val="24"/>
                <w:szCs w:val="24"/>
                <w:highlight w:val="none"/>
                <w:lang w:val="en-US" w:eastAsia="zh-CN"/>
                <w14:textFill>
                  <w14:solidFill>
                    <w14:schemeClr w14:val="tx1"/>
                  </w14:solidFill>
                </w14:textFill>
              </w:rPr>
              <w:t>人</w:t>
            </w:r>
            <w:r>
              <w:rPr>
                <w:rFonts w:hint="default" w:ascii="Times New Roman" w:hAnsi="Times New Roman" w:eastAsia="方正仿宋_GBK" w:cs="Times New Roman"/>
                <w:color w:val="000000" w:themeColor="text1"/>
                <w:spacing w:val="-11"/>
                <w:sz w:val="24"/>
                <w:szCs w:val="24"/>
                <w:highlight w:val="none"/>
                <w:lang w:eastAsia="zh-CN"/>
                <w14:textFill>
                  <w14:solidFill>
                    <w14:schemeClr w14:val="tx1"/>
                  </w14:solidFill>
                </w14:textFill>
              </w:rPr>
              <w:t>）</w:t>
            </w:r>
          </w:p>
        </w:tc>
        <w:tc>
          <w:tcPr>
            <w:tcW w:w="1596" w:type="dxa"/>
            <w:vAlign w:val="center"/>
          </w:tcPr>
          <w:p>
            <w:pPr>
              <w:spacing w:line="340" w:lineRule="exact"/>
              <w:ind w:firstLine="0" w:firstLineChars="0"/>
              <w:jc w:val="left"/>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56（其中国家级2人，自治区级22人）</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100（其中国家级3人，自治区级40人）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9</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文化产业示范园区（个）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1（自治区级）</w:t>
            </w:r>
          </w:p>
        </w:tc>
        <w:tc>
          <w:tcPr>
            <w:tcW w:w="1788" w:type="dxa"/>
            <w:vAlign w:val="center"/>
          </w:tcPr>
          <w:p>
            <w:pPr>
              <w:spacing w:line="340" w:lineRule="exact"/>
              <w:ind w:firstLine="0" w:firstLineChars="0"/>
              <w:jc w:val="both"/>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（其中国家级</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1个，自治区级 2个</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文化产业示范基地</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12（其中国家级1个，自治区级11个）</w:t>
            </w:r>
          </w:p>
        </w:tc>
        <w:tc>
          <w:tcPr>
            <w:tcW w:w="1788" w:type="dxa"/>
            <w:vAlign w:val="center"/>
          </w:tcPr>
          <w:p>
            <w:pPr>
              <w:spacing w:line="340" w:lineRule="exact"/>
              <w:ind w:firstLine="0" w:firstLineChars="0"/>
              <w:jc w:val="both"/>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18（其中国家级2个，自治区级16个）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007" w:type="dxa"/>
            <w:gridSpan w:val="4"/>
            <w:vAlign w:val="center"/>
          </w:tcPr>
          <w:p>
            <w:pPr>
              <w:spacing w:line="340" w:lineRule="exact"/>
              <w:ind w:firstLine="0" w:firstLineChars="0"/>
              <w:jc w:val="left"/>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lang w:val="en-US" w:eastAsia="zh-CN"/>
                <w14:textFill>
                  <w14:solidFill>
                    <w14:schemeClr w14:val="tx1"/>
                  </w14:solidFill>
                </w14:textFill>
              </w:rPr>
              <w:t>二、旅游业发展核心指标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lang w:eastAsia="zh-CN"/>
                <w14:textFill>
                  <w14:solidFill>
                    <w14:schemeClr w14:val="tx1"/>
                  </w14:solidFill>
                </w14:textFill>
              </w:rPr>
              <w:t>序号</w:t>
            </w:r>
          </w:p>
        </w:tc>
        <w:tc>
          <w:tcPr>
            <w:tcW w:w="4725"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指标</w:t>
            </w:r>
          </w:p>
        </w:tc>
        <w:tc>
          <w:tcPr>
            <w:tcW w:w="1596"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2020年</w:t>
            </w:r>
          </w:p>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实际数</w:t>
            </w:r>
          </w:p>
        </w:tc>
        <w:tc>
          <w:tcPr>
            <w:tcW w:w="1788"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2025年</w:t>
            </w:r>
          </w:p>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lang w:eastAsia="zh-CN"/>
                <w14:textFill>
                  <w14:solidFill>
                    <w14:schemeClr w14:val="tx1"/>
                  </w14:solidFill>
                </w14:textFill>
              </w:rPr>
              <w:t>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旅游总人次（万人次）</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3875.74</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旅游总消费（亿元）</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390.99</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国家</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A级</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旅游</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景区</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（家）</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30（其中</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国家</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A</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AAA</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旅游</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景区10</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家</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50（其中</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国家</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A</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AAAA</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级</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旅游</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景区</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家</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国家</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A</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AAA</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级</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旅游</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景区15</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家</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旅游度假区（个）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（其中国家级</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2个，自治区级1个</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全域旅游示范区</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pacing w:val="-6"/>
                <w:sz w:val="24"/>
                <w:szCs w:val="24"/>
                <w:highlight w:val="none"/>
                <w14:textFill>
                  <w14:solidFill>
                    <w14:schemeClr w14:val="tx1"/>
                  </w14:solidFill>
                </w14:textFill>
              </w:rPr>
              <w:t>4</w:t>
            </w:r>
            <w:r>
              <w:rPr>
                <w:rFonts w:hint="default" w:ascii="Times New Roman" w:hAnsi="Times New Roman" w:eastAsia="方正仿宋_GBK" w:cs="Times New Roman"/>
                <w:color w:val="000000" w:themeColor="text1"/>
                <w:spacing w:val="-6"/>
                <w:sz w:val="24"/>
                <w:szCs w:val="24"/>
                <w:highlight w:val="none"/>
                <w:lang w:eastAsia="zh-CN"/>
                <w14:textFill>
                  <w14:solidFill>
                    <w14:schemeClr w14:val="tx1"/>
                  </w14:solidFill>
                </w14:textFill>
              </w:rPr>
              <w:t>（其中</w:t>
            </w:r>
            <w:r>
              <w:rPr>
                <w:rFonts w:hint="default" w:ascii="Times New Roman" w:hAnsi="Times New Roman" w:eastAsia="方正仿宋_GBK" w:cs="Times New Roman"/>
                <w:color w:val="000000" w:themeColor="text1"/>
                <w:spacing w:val="-6"/>
                <w:sz w:val="24"/>
                <w:szCs w:val="24"/>
                <w:highlight w:val="none"/>
                <w:lang w:val="en-US" w:eastAsia="zh-CN"/>
                <w14:textFill>
                  <w14:solidFill>
                    <w14:schemeClr w14:val="tx1"/>
                  </w14:solidFill>
                </w14:textFill>
              </w:rPr>
              <w:t>国家全域旅游示范区1个，广西全域旅游示范区3个</w:t>
            </w:r>
            <w:r>
              <w:rPr>
                <w:rFonts w:hint="default" w:ascii="Times New Roman" w:hAnsi="Times New Roman" w:eastAsia="方正仿宋_GBK" w:cs="Times New Roman"/>
                <w:color w:val="000000" w:themeColor="text1"/>
                <w:spacing w:val="-6"/>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旅游休闲街区（个）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（其中国家级</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1个，自治区级3个</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夜间文化和旅游消费集聚区（个）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5（其中国家级1个，自治区级4个）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生态旅游示范区（个）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8</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（其中国家级</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1个，自治区级7个</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9</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乡村旅游重点镇</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0</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7（其中国家级2个，自治区级5个）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乡村旅游重点村</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0</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11（其中国家级3个，自治区级8个）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11</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四星级以上酒店（个）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p>
        </w:tc>
        <w:tc>
          <w:tcPr>
            <w:tcW w:w="1788"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（其中五星级酒店</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1个，四星级酒店4个</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12</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广西星级乡村旅游区（个）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27</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98" w:type="dxa"/>
            <w:vAlign w:val="center"/>
          </w:tcPr>
          <w:p>
            <w:pPr>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13</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广西星级农家乐（个）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24</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007" w:type="dxa"/>
            <w:gridSpan w:val="4"/>
            <w:vAlign w:val="center"/>
          </w:tcPr>
          <w:p>
            <w:pPr>
              <w:spacing w:line="340" w:lineRule="exact"/>
              <w:ind w:firstLine="0" w:firstLineChars="0"/>
              <w:jc w:val="left"/>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lang w:eastAsia="zh-CN"/>
                <w14:textFill>
                  <w14:solidFill>
                    <w14:schemeClr w14:val="tx1"/>
                  </w14:solidFill>
                </w14:textFill>
              </w:rPr>
              <w:t>三、广电事业发展核心指标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序号</w:t>
            </w:r>
          </w:p>
        </w:tc>
        <w:tc>
          <w:tcPr>
            <w:tcW w:w="4725"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指标</w:t>
            </w:r>
          </w:p>
        </w:tc>
        <w:tc>
          <w:tcPr>
            <w:tcW w:w="1596"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2"/>
                <w:szCs w:val="22"/>
                <w:highlight w:val="none"/>
                <w14:textFill>
                  <w14:solidFill>
                    <w14:schemeClr w14:val="tx1"/>
                  </w14:solidFill>
                </w14:textFill>
              </w:rPr>
              <w:t>2020年实际值</w:t>
            </w:r>
          </w:p>
        </w:tc>
        <w:tc>
          <w:tcPr>
            <w:tcW w:w="1788"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22"/>
                <w:szCs w:val="22"/>
                <w:highlight w:val="none"/>
                <w14:textFill>
                  <w14:solidFill>
                    <w14:schemeClr w14:val="tx1"/>
                  </w14:solidFill>
                </w14:textFill>
              </w:rPr>
              <w:t>2025年</w:t>
            </w:r>
            <w:r>
              <w:rPr>
                <w:rFonts w:hint="default" w:ascii="Times New Roman" w:hAnsi="Times New Roman" w:eastAsia="方正仿宋_GBK" w:cs="Times New Roman"/>
                <w:b/>
                <w:bCs/>
                <w:color w:val="000000" w:themeColor="text1"/>
                <w:sz w:val="22"/>
                <w:szCs w:val="22"/>
                <w:highlight w:val="none"/>
                <w:lang w:eastAsia="zh-CN"/>
                <w14:textFill>
                  <w14:solidFill>
                    <w14:schemeClr w14:val="tx1"/>
                  </w14:solidFill>
                </w14:textFill>
              </w:rPr>
              <w:t>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市、县区级应急广播体系（个）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高清/超高清电视发展（个）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智慧广电</w:t>
            </w:r>
            <w:r>
              <w:rPr>
                <w:rFonts w:hint="eastAsia" w:ascii="Times New Roman" w:hAnsi="Times New Roman" w:eastAsia="方正仿宋_GBK"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农村有线数字电视用户（万户）</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6.75</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b w:val="0"/>
                <w:bCs w:val="0"/>
                <w:i w:val="0"/>
                <w:color w:val="000000" w:themeColor="text1"/>
                <w:kern w:val="0"/>
                <w:sz w:val="24"/>
                <w:szCs w:val="24"/>
                <w:u w:val="none"/>
                <w:lang w:val="en-US" w:eastAsia="zh-CN" w:bidi="ar"/>
                <w14:textFill>
                  <w14:solidFill>
                    <w14:schemeClr w14:val="tx1"/>
                  </w14:solidFill>
                </w14:textFill>
              </w:rPr>
              <w:t>智慧乡村</w:t>
            </w:r>
            <w:r>
              <w:rPr>
                <w:rFonts w:hint="eastAsia" w:ascii="Times New Roman" w:hAnsi="Times New Roman" w:eastAsia="方正仿宋_GBK" w:cs="Times New Roman"/>
                <w:b w:val="0"/>
                <w:bCs w:val="0"/>
                <w:i w:val="0"/>
                <w:color w:val="000000" w:themeColor="text1"/>
                <w:kern w:val="0"/>
                <w:sz w:val="24"/>
                <w:szCs w:val="24"/>
                <w:u w:val="none"/>
                <w:lang w:val="en-US" w:eastAsia="zh-CN" w:bidi="ar"/>
                <w14:textFill>
                  <w14:solidFill>
                    <w14:schemeClr w14:val="tx1"/>
                  </w14:solidFill>
                </w14:textFill>
              </w:rPr>
              <w:t>“</w:t>
            </w:r>
            <w:r>
              <w:rPr>
                <w:rFonts w:hint="default" w:ascii="Times New Roman" w:hAnsi="Times New Roman" w:eastAsia="方正仿宋_GBK" w:cs="Times New Roman"/>
                <w:b w:val="0"/>
                <w:bCs w:val="0"/>
                <w:i w:val="0"/>
                <w:color w:val="000000" w:themeColor="text1"/>
                <w:kern w:val="0"/>
                <w:sz w:val="24"/>
                <w:szCs w:val="24"/>
                <w:u w:val="none"/>
                <w:lang w:val="en-US" w:eastAsia="zh-CN" w:bidi="ar"/>
                <w14:textFill>
                  <w14:solidFill>
                    <w14:schemeClr w14:val="tx1"/>
                  </w14:solidFill>
                </w14:textFill>
              </w:rPr>
              <w:t>一村一屏</w:t>
            </w:r>
            <w:r>
              <w:rPr>
                <w:rFonts w:hint="eastAsia" w:ascii="Times New Roman" w:hAnsi="Times New Roman" w:eastAsia="方正仿宋_GBK" w:cs="Times New Roman"/>
                <w:b w:val="0"/>
                <w:bCs w:val="0"/>
                <w:i w:val="0"/>
                <w:color w:val="000000" w:themeColor="text1"/>
                <w:kern w:val="0"/>
                <w:sz w:val="24"/>
                <w:szCs w:val="24"/>
                <w:u w:val="none"/>
                <w:lang w:val="en-US" w:eastAsia="zh-CN" w:bidi="ar"/>
                <w14:textFill>
                  <w14:solidFill>
                    <w14:schemeClr w14:val="tx1"/>
                  </w14:solidFill>
                </w14:textFill>
              </w:rPr>
              <w:t>”</w:t>
            </w:r>
            <w:r>
              <w:rPr>
                <w:rFonts w:hint="default" w:ascii="Times New Roman" w:hAnsi="Times New Roman" w:eastAsia="方正仿宋_GBK" w:cs="Times New Roman"/>
                <w:b w:val="0"/>
                <w:bCs w:val="0"/>
                <w:i w:val="0"/>
                <w:color w:val="000000" w:themeColor="text1"/>
                <w:kern w:val="0"/>
                <w:sz w:val="24"/>
                <w:szCs w:val="24"/>
                <w:u w:val="none"/>
                <w:lang w:val="en-US" w:eastAsia="zh-CN" w:bidi="ar"/>
                <w14:textFill>
                  <w14:solidFill>
                    <w14:schemeClr w14:val="tx1"/>
                  </w14:solidFill>
                </w14:textFill>
              </w:rPr>
              <w:t>建设</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0</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007" w:type="dxa"/>
            <w:gridSpan w:val="4"/>
            <w:vAlign w:val="center"/>
          </w:tcPr>
          <w:p>
            <w:pPr>
              <w:spacing w:line="340" w:lineRule="exact"/>
              <w:ind w:firstLine="0" w:firstLineChars="0"/>
              <w:jc w:val="left"/>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lang w:eastAsia="zh-CN"/>
                <w14:textFill>
                  <w14:solidFill>
                    <w14:schemeClr w14:val="tx1"/>
                  </w14:solidFill>
                </w14:textFill>
              </w:rPr>
              <w:t>四、体育发展核心指标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序号</w:t>
            </w:r>
          </w:p>
        </w:tc>
        <w:tc>
          <w:tcPr>
            <w:tcW w:w="4725"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2"/>
                <w:szCs w:val="22"/>
                <w:highlight w:val="none"/>
                <w14:textFill>
                  <w14:solidFill>
                    <w14:schemeClr w14:val="tx1"/>
                  </w14:solidFill>
                </w14:textFill>
              </w:rPr>
              <w:t>指标（单位）</w:t>
            </w:r>
          </w:p>
        </w:tc>
        <w:tc>
          <w:tcPr>
            <w:tcW w:w="1596"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2"/>
                <w:szCs w:val="22"/>
                <w:highlight w:val="none"/>
                <w14:textFill>
                  <w14:solidFill>
                    <w14:schemeClr w14:val="tx1"/>
                  </w14:solidFill>
                </w14:textFill>
              </w:rPr>
              <w:t>2020年实际值</w:t>
            </w:r>
          </w:p>
        </w:tc>
        <w:tc>
          <w:tcPr>
            <w:tcW w:w="1788" w:type="dxa"/>
            <w:vAlign w:val="center"/>
          </w:tcPr>
          <w:p>
            <w:pPr>
              <w:spacing w:line="340" w:lineRule="exact"/>
              <w:ind w:firstLine="0" w:firstLineChars="0"/>
              <w:jc w:val="center"/>
              <w:rPr>
                <w:rFonts w:hint="default" w:ascii="Times New Roman" w:hAnsi="Times New Roman" w:eastAsia="方正仿宋_GBK"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22"/>
                <w:szCs w:val="22"/>
                <w:highlight w:val="none"/>
                <w14:textFill>
                  <w14:solidFill>
                    <w14:schemeClr w14:val="tx1"/>
                  </w14:solidFill>
                </w14:textFill>
              </w:rPr>
              <w:t>2025年</w:t>
            </w:r>
            <w:r>
              <w:rPr>
                <w:rFonts w:hint="default" w:ascii="Times New Roman" w:hAnsi="Times New Roman" w:eastAsia="方正仿宋_GBK" w:cs="Times New Roman"/>
                <w:b/>
                <w:bCs/>
                <w:color w:val="000000" w:themeColor="text1"/>
                <w:sz w:val="22"/>
                <w:szCs w:val="22"/>
                <w:highlight w:val="none"/>
                <w:lang w:eastAsia="zh-CN"/>
                <w14:textFill>
                  <w14:solidFill>
                    <w14:schemeClr w14:val="tx1"/>
                  </w14:solidFill>
                </w14:textFill>
              </w:rPr>
              <w:t>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经常参加体育锻炼的人数和比例（万人和百分比）</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126/30%</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180/40%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《国民体质测定标准》合格以上人数</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81%</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人均体育场地面积（</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平方米</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1.85</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行政村农民体育健身工程覆盖率（百分比）</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95%</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各级体育社团及协会总数（个）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54</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6</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每年举办具有国际影响力的体育赛事（项）</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7</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户外运动基地（个）</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8</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每年全市青少年体育后备人才参加训练人数（人）</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9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9</w:t>
            </w:r>
          </w:p>
        </w:tc>
        <w:tc>
          <w:tcPr>
            <w:tcW w:w="4725" w:type="dxa"/>
            <w:vAlign w:val="center"/>
          </w:tcPr>
          <w:p>
            <w:pPr>
              <w:spacing w:line="340" w:lineRule="exact"/>
              <w:ind w:firstLine="0"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全市建设标准体校总数（所）</w:t>
            </w:r>
          </w:p>
        </w:tc>
        <w:tc>
          <w:tcPr>
            <w:tcW w:w="1596"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w:t>
            </w:r>
          </w:p>
        </w:tc>
        <w:tc>
          <w:tcPr>
            <w:tcW w:w="1788" w:type="dxa"/>
            <w:vAlign w:val="center"/>
          </w:tcPr>
          <w:p>
            <w:pPr>
              <w:spacing w:line="340" w:lineRule="exact"/>
              <w:ind w:firstLine="0" w:firstLineChars="0"/>
              <w:jc w:val="center"/>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w:t>
            </w:r>
          </w:p>
        </w:tc>
      </w:tr>
    </w:tbl>
    <w:p>
      <w:pPr>
        <w:spacing w:line="240" w:lineRule="auto"/>
        <w:ind w:firstLine="0" w:firstLineChars="0"/>
        <w:rPr>
          <w:rFonts w:ascii="Times New Roman" w:hAnsi="Times New Roman" w:cs="Times New Roman"/>
          <w:color w:val="000000" w:themeColor="text1"/>
          <w14:textFill>
            <w14:solidFill>
              <w14:schemeClr w14:val="tx1"/>
            </w14:solidFill>
          </w14:textFill>
        </w:rPr>
      </w:pPr>
      <w:r>
        <w:rPr>
          <w:rFonts w:hint="default" w:ascii="Times New Roman" w:hAnsi="Times New Roman" w:eastAsia="黑体" w:cs="Times New Roman"/>
          <w:color w:val="000000" w:themeColor="text1"/>
          <w:sz w:val="21"/>
          <w:szCs w:val="24"/>
          <w:highlight w:val="none"/>
          <w14:textFill>
            <w14:solidFill>
              <w14:schemeClr w14:val="tx1"/>
            </w14:solidFill>
          </w14:textFill>
        </w:rPr>
        <w:br w:type="page"/>
      </w:r>
    </w:p>
    <w:p>
      <w:pPr>
        <w:pStyle w:val="29"/>
        <w:spacing w:before="190" w:beforeLines="50" w:after="190" w:afterLines="50"/>
        <w:rPr>
          <w:rFonts w:hint="eastAsia" w:ascii="方正小标宋_GBK" w:hAnsi="方正小标宋_GBK" w:eastAsia="方正小标宋_GBK" w:cs="方正小标宋_GBK"/>
          <w:color w:val="000000" w:themeColor="text1"/>
          <w:szCs w:val="44"/>
          <w:highlight w:val="none"/>
          <w14:textFill>
            <w14:solidFill>
              <w14:schemeClr w14:val="tx1"/>
            </w14:solidFill>
          </w14:textFill>
        </w:rPr>
      </w:pPr>
      <w:bookmarkStart w:id="188" w:name="_Toc3827"/>
      <w:bookmarkStart w:id="189" w:name="_Toc137898481"/>
      <w:bookmarkStart w:id="190" w:name="_Toc274014516"/>
      <w:bookmarkStart w:id="191" w:name="_Toc1863930285"/>
      <w:bookmarkStart w:id="192" w:name="_Toc738877327"/>
      <w:r>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t xml:space="preserve">第三章  </w:t>
      </w:r>
      <w:bookmarkEnd w:id="186"/>
      <w:r>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t>发展格局</w:t>
      </w:r>
      <w:bookmarkEnd w:id="187"/>
      <w:bookmarkEnd w:id="188"/>
      <w:bookmarkEnd w:id="189"/>
      <w:bookmarkEnd w:id="190"/>
      <w:bookmarkEnd w:id="191"/>
      <w:bookmarkEnd w:id="192"/>
    </w:p>
    <w:p>
      <w:pPr>
        <w:spacing w:line="240" w:lineRule="auto"/>
        <w:ind w:firstLine="420"/>
        <w:rPr>
          <w:rFonts w:ascii="Times New Roman" w:hAnsi="Times New Roman" w:eastAsia="黑体" w:cs="Times New Roman"/>
          <w:color w:val="000000" w:themeColor="text1"/>
          <w:sz w:val="21"/>
          <w:szCs w:val="24"/>
          <w:highlight w:val="none"/>
          <w14:textFill>
            <w14:solidFill>
              <w14:schemeClr w14:val="tx1"/>
            </w14:solidFill>
          </w14:textFill>
        </w:rPr>
      </w:pPr>
      <w:bookmarkStart w:id="193" w:name="_Toc80024340"/>
    </w:p>
    <w:p>
      <w:pPr>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坚持</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文化为魂，旅游为体，广电体育为辅</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的布局思路，在充分发挥各产业特色与优势的基础上，以</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宜融则融，能融尽融</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为原则，坚持政策为大、项目为王、环境为本、创新为要，促进各产业相互融合、相互渗透、相互补充；培育新业态，挖掘新亮点，推动新项目，促进文化、旅游、体育消费新升级，广播电视智慧化生产，谋划高端消费人群导入，最终形成</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四城联动、三区并进、两带链接</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文化广电体育旅游高质量融合发展的新格局。</w:t>
      </w:r>
    </w:p>
    <w:p>
      <w:pPr>
        <w:pStyle w:val="4"/>
        <w:keepLines w:val="0"/>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194" w:name="_Toc1544882190"/>
      <w:bookmarkStart w:id="195" w:name="_Toc985866147"/>
      <w:bookmarkStart w:id="196" w:name="_Toc1341134347"/>
      <w:bookmarkStart w:id="197" w:name="_Toc16635"/>
      <w:bookmarkStart w:id="198" w:name="_Toc1334447008"/>
      <w:bookmarkStart w:id="199" w:name="_Toc84945338"/>
      <w:r>
        <w:rPr>
          <w:rFonts w:hint="default" w:ascii="Times New Roman" w:hAnsi="Times New Roman" w:eastAsia="方正黑体_GBK" w:cs="Times New Roman"/>
          <w:b w:val="0"/>
          <w:bCs w:val="0"/>
          <w:color w:val="000000" w:themeColor="text1"/>
          <w:highlight w:val="none"/>
          <w14:textFill>
            <w14:solidFill>
              <w14:schemeClr w14:val="tx1"/>
            </w14:solidFill>
          </w14:textFill>
        </w:rPr>
        <w:t>一、</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四城联动</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做大</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江海港城</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四大名片</w:t>
      </w:r>
      <w:bookmarkEnd w:id="194"/>
      <w:bookmarkEnd w:id="195"/>
      <w:bookmarkEnd w:id="196"/>
      <w:bookmarkEnd w:id="197"/>
      <w:bookmarkEnd w:id="198"/>
      <w:bookmarkEnd w:id="199"/>
    </w:p>
    <w:p>
      <w:pPr>
        <w:pStyle w:val="5"/>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00" w:name="_Toc85183092"/>
      <w:bookmarkStart w:id="201" w:name="_Toc31350"/>
      <w:bookmarkStart w:id="202" w:name="_Toc84945339"/>
      <w:bookmarkStart w:id="203" w:name="_Toc85050984"/>
      <w:bookmarkStart w:id="204" w:name="_Toc85206527"/>
      <w:bookmarkStart w:id="205" w:name="_Toc7109"/>
      <w:bookmarkStart w:id="206" w:name="_Toc1263097254"/>
      <w:bookmarkStart w:id="207" w:name="_Toc757514242"/>
      <w:bookmarkStart w:id="208" w:name="_Toc2040713929"/>
      <w:bookmarkStart w:id="209" w:name="_Toc49962978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（一）聚焦文化江城，加快建设钦州老街历史文化休闲街区</w:t>
      </w:r>
      <w:bookmarkEnd w:id="200"/>
      <w:bookmarkEnd w:id="201"/>
      <w:bookmarkEnd w:id="202"/>
      <w:bookmarkEnd w:id="203"/>
      <w:bookmarkEnd w:id="204"/>
      <w:bookmarkEnd w:id="20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206"/>
      <w:bookmarkEnd w:id="207"/>
      <w:bookmarkEnd w:id="208"/>
      <w:bookmarkEnd w:id="209"/>
    </w:p>
    <w:p>
      <w:pPr>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将主城区作为钦州文化体验综合功能的核心区，以钦江</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一江两岸</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为轴，完善城市配套设施，释放城市发展空间，改善城市居住环境，统筹</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钦州老街片区、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白石湖</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—平山岛组团等</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开发，提升城市特色风貌，打造现代商业氛围、城市历史文化特色。重点高质量建设钦州老街历史文化旅游休闲街区，以中山路为核心，整合广州会馆、刘永福旧居、钦州古城墙等人文景观资源，通过改造保护具有岭南骑楼风格的古建筑，建设休闲步行街区，恢复骑楼街原貌和商业业态等，植入发展文化艺术内容和活动，打造广西沿海地区岭南传统文化特色突出、具有</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一定</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影响力的旅游休闲街区，推动创建国家AAAA级旅游景区、国家级旅游休闲街区和国家级夜间文化和旅游消费集聚区，将钦州老街打造成为讲好钦州历史文化故事、独具中华文旅体验魅力、人民怀旧生活情怀的钦州文化之魂、北部湾文化之根。</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10" w:name="_Toc15920"/>
      <w:bookmarkStart w:id="211" w:name="_Toc84945340"/>
      <w:bookmarkStart w:id="212" w:name="_Toc13116"/>
      <w:bookmarkStart w:id="213" w:name="_Toc85050985"/>
      <w:bookmarkStart w:id="214" w:name="_Toc85206528"/>
      <w:bookmarkStart w:id="215" w:name="_Toc85183093"/>
      <w:bookmarkStart w:id="216" w:name="_Toc576179874"/>
      <w:bookmarkStart w:id="217" w:name="_Toc518105852"/>
      <w:bookmarkStart w:id="218" w:name="_Toc896582379"/>
      <w:bookmarkStart w:id="219" w:name="_Toc2027135719"/>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（二）聚焦休闲海城，提升中国最美内海新城的品牌形象</w:t>
      </w:r>
      <w:bookmarkEnd w:id="210"/>
      <w:bookmarkEnd w:id="211"/>
      <w:bookmarkEnd w:id="212"/>
      <w:bookmarkEnd w:id="213"/>
      <w:bookmarkEnd w:id="214"/>
      <w:bookmarkEnd w:id="21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216"/>
      <w:bookmarkEnd w:id="217"/>
      <w:bookmarkEnd w:id="218"/>
      <w:bookmarkEnd w:id="219"/>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以滨海新城为主的区域范围，高标准建设完善基础设施和城市配套功能项目，基本形成新城整体开发的架构，分类推动</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沙井岛、辣椒槌组团等</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开发建设，进一步凸显江、海、岛、湖特色，提升中国最美内海新城的品牌形象，引领城市进一步向海发展，创建辣椒槌滨海公园为国家AAAA级旅游景区。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推动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龙门港片区纳入中心城市规划范围，与滨海新城的滨海度假休闲开发统筹，加快全岛整体规划，在保护生态的前提下有序开发海岛、海洋生态景观资源，发展高端海洋生态健康旅游业。</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default" w:ascii="Times New Roman" w:hAnsi="Times New Roman" w:eastAsia="楷体" w:cs="Times New Roman"/>
          <w:b w:val="0"/>
          <w:bCs w:val="0"/>
          <w:color w:val="000000" w:themeColor="text1"/>
          <w:sz w:val="32"/>
          <w:highlight w:val="none"/>
          <w:lang w:eastAsia="zh-CN"/>
          <w14:textFill>
            <w14:solidFill>
              <w14:schemeClr w14:val="tx1"/>
            </w14:solidFill>
          </w14:textFill>
        </w:rPr>
      </w:pPr>
      <w:bookmarkStart w:id="220" w:name="_Toc84945341"/>
      <w:bookmarkStart w:id="221" w:name="_Toc85206529"/>
      <w:bookmarkStart w:id="222" w:name="_Toc85050986"/>
      <w:bookmarkStart w:id="223" w:name="_Toc28232"/>
      <w:bookmarkStart w:id="224" w:name="_Toc85183094"/>
      <w:bookmarkStart w:id="225" w:name="_Toc30151"/>
      <w:bookmarkStart w:id="226" w:name="_Toc853420011"/>
      <w:bookmarkStart w:id="227" w:name="_Toc32625067"/>
      <w:bookmarkStart w:id="228" w:name="_Toc1378993836"/>
      <w:bookmarkStart w:id="229" w:name="_Toc244279233"/>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（三）聚焦智慧港城，形成自贸区钦州港片区文广体旅消费集聚区</w:t>
      </w:r>
      <w:bookmarkEnd w:id="220"/>
      <w:bookmarkEnd w:id="221"/>
      <w:bookmarkEnd w:id="222"/>
      <w:bookmarkEnd w:id="223"/>
      <w:bookmarkEnd w:id="224"/>
      <w:bookmarkEnd w:id="22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226"/>
      <w:bookmarkEnd w:id="227"/>
      <w:bookmarkEnd w:id="228"/>
      <w:bookmarkEnd w:id="229"/>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依托自贸区钦州港片区，聚焦体育文化旅游融合，推动自贸区钦州港片区在文化广电体育旅游领域实施</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系列</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政策创新、模式创新、业态创新、消费创新，依托自贸商城、国际商品直销中心等基础，培育广电卖场、商贸会展、旅游演艺、文化创意、养生养老、自驾基地等休闲消费业态，形成文广体旅消费集聚区。推动自贸区钦州港片区创建国家AAAA级旅游景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夜间文化和旅游消费集聚区。</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30" w:name="_Toc12414"/>
      <w:bookmarkStart w:id="231" w:name="_Toc85183095"/>
      <w:bookmarkStart w:id="232" w:name="_Toc18666"/>
      <w:bookmarkStart w:id="233" w:name="_Toc85050987"/>
      <w:bookmarkStart w:id="234" w:name="_Toc85206530"/>
      <w:bookmarkStart w:id="235" w:name="_Toc84945342"/>
      <w:bookmarkStart w:id="236" w:name="_Toc295338966"/>
      <w:bookmarkStart w:id="237" w:name="_Toc1969767780"/>
      <w:bookmarkStart w:id="238" w:name="_Toc1719745855"/>
      <w:bookmarkStart w:id="239" w:name="_Toc1854693213"/>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（四）聚焦海湾慢城，推动三娘湾创建国家级旅游度假区</w:t>
      </w:r>
      <w:bookmarkEnd w:id="230"/>
      <w:bookmarkEnd w:id="231"/>
      <w:bookmarkEnd w:id="232"/>
      <w:bookmarkEnd w:id="233"/>
      <w:bookmarkEnd w:id="234"/>
      <w:bookmarkEnd w:id="23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236"/>
      <w:bookmarkEnd w:id="237"/>
      <w:bookmarkEnd w:id="238"/>
      <w:bookmarkEnd w:id="239"/>
    </w:p>
    <w:p>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全面推进</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犀丽湾、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三娘湾</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等组团</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整体开发，建成乌雷码头文化旅游综合体、国际邮轮海港码头等高端文化旅游，争取开通海上旅游航线。统筹规划犀丽湾、三娘湾、大环、</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永福湾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等岸线，整合滨海、沙滩、白海豚等资源，引进知名旅游、健康投资运营商，建设</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滨海渔家</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民宿、海盐康养、海上旅游、海洋生物博览等示范品牌项目，做大做优文旅、康养、游乐、度假等业态，培育</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医、康、养、娱、游</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功能，发展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海洋+文旅</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产业链，争取创建国家级旅游度假区和国家</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AAAA</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A级旅游景区，打造成为北</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部湾高端滨海旅游的重要目的地和国内外知名的滨海旅游度假区。</w:t>
      </w:r>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240" w:name="_Toc204820189"/>
      <w:bookmarkStart w:id="241" w:name="_Toc2145441863"/>
      <w:bookmarkStart w:id="242" w:name="_Toc2114331519"/>
      <w:bookmarkStart w:id="243" w:name="_Toc9590"/>
      <w:bookmarkStart w:id="244" w:name="_Toc371552062"/>
      <w:bookmarkStart w:id="245" w:name="_Toc84945343"/>
      <w:bookmarkStart w:id="246" w:name="_Toc80024343"/>
      <w:r>
        <w:rPr>
          <w:rFonts w:hint="default" w:ascii="Times New Roman" w:hAnsi="Times New Roman" w:eastAsia="方正黑体_GBK" w:cs="Times New Roman"/>
          <w:b w:val="0"/>
          <w:bCs w:val="0"/>
          <w:color w:val="000000" w:themeColor="text1"/>
          <w:highlight w:val="none"/>
          <w14:textFill>
            <w14:solidFill>
              <w14:schemeClr w14:val="tx1"/>
            </w14:solidFill>
          </w14:textFill>
        </w:rPr>
        <w:t>二、</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三区并进</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做实文广体旅产业全域融合大发展</w:t>
      </w:r>
      <w:bookmarkEnd w:id="240"/>
      <w:bookmarkEnd w:id="241"/>
      <w:bookmarkEnd w:id="242"/>
      <w:bookmarkEnd w:id="243"/>
      <w:bookmarkEnd w:id="244"/>
      <w:bookmarkEnd w:id="245"/>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47" w:name="_Toc19052"/>
      <w:bookmarkStart w:id="248" w:name="_Toc744"/>
      <w:bookmarkStart w:id="249" w:name="_Toc84945344"/>
      <w:bookmarkStart w:id="250" w:name="_Toc85183097"/>
      <w:bookmarkStart w:id="251" w:name="_Toc85050989"/>
      <w:bookmarkStart w:id="252" w:name="_Toc85206532"/>
      <w:bookmarkStart w:id="253" w:name="_Toc459276585"/>
      <w:bookmarkStart w:id="254" w:name="_Toc765777425"/>
      <w:bookmarkStart w:id="255" w:name="_Toc1054784946"/>
      <w:bookmarkStart w:id="256" w:name="_Toc1057169664"/>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（一）推进灵山民俗风情体验区</w:t>
      </w:r>
      <w:bookmarkEnd w:id="246"/>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建设</w:t>
      </w:r>
      <w:bookmarkEnd w:id="247"/>
      <w:bookmarkEnd w:id="248"/>
      <w:bookmarkEnd w:id="249"/>
      <w:bookmarkEnd w:id="250"/>
      <w:bookmarkEnd w:id="251"/>
      <w:bookmarkEnd w:id="25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253"/>
      <w:bookmarkEnd w:id="254"/>
      <w:bookmarkEnd w:id="255"/>
      <w:bookmarkEnd w:id="256"/>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依托灵山县县域民俗风情体验与亚热带田园风光体验的文化旅游特色，</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主要开发建设龙武庄园、大芦古村等片区，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整合六峰山、烟霞山及古民居、古建筑群等民俗文化旅游资源，结合龙武庄园、奇石湖、百年荔枝特色农业核心示范区、新圩千年荔枝园、龙武荔枝风情园等以荔枝、庄园文化和亚热带山水田园为特色的乡村旅游资源</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发展基础，建设大芦村、萍塘村、新余屋村等重点传统文化村落，推动精品旅游民宿发展，</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丰富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民俗文化风情、乡村休闲度假、特色农业体验等类型的旅游产品。</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57" w:name="_Toc80024344"/>
      <w:bookmarkStart w:id="258" w:name="_Toc85183098"/>
      <w:bookmarkStart w:id="259" w:name="_Toc85206533"/>
      <w:bookmarkStart w:id="260" w:name="_Toc10241"/>
      <w:bookmarkStart w:id="261" w:name="_Toc84945345"/>
      <w:bookmarkStart w:id="262" w:name="_Toc13185"/>
      <w:bookmarkStart w:id="263" w:name="_Toc85050990"/>
      <w:bookmarkStart w:id="264" w:name="_Toc875579346"/>
      <w:bookmarkStart w:id="265" w:name="_Toc1945685318"/>
      <w:bookmarkStart w:id="266" w:name="_Toc662215559"/>
      <w:bookmarkStart w:id="267" w:name="_Toc1186043248"/>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（二）推进浦北文化康养度假区</w:t>
      </w:r>
      <w:bookmarkEnd w:id="257"/>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建设</w:t>
      </w:r>
      <w:bookmarkEnd w:id="258"/>
      <w:bookmarkEnd w:id="259"/>
      <w:bookmarkEnd w:id="260"/>
      <w:bookmarkEnd w:id="261"/>
      <w:bookmarkEnd w:id="262"/>
      <w:bookmarkEnd w:id="263"/>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264"/>
      <w:bookmarkEnd w:id="265"/>
      <w:bookmarkEnd w:id="266"/>
      <w:bookmarkEnd w:id="267"/>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依托浦北县县域客家历史文化与越州故城历史文化资源和自然生态康养旅游资源</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，推进环五皇山康养度假片区、越州文化片区等开发建设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创建五皇山国家级度假区，开发大朗书院、香翰屏故居乡村专项旅游产品，提升文昌景区、小江瓷文化产业创意园、神蜉酒厂客家历史文化休闲区，建设越州故城考古遗址公园。依托五皇山、六万山康养旅游资源，开发长寿特色的康养旅游度假产品。</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68" w:name="_Toc80024345"/>
      <w:bookmarkStart w:id="269" w:name="_Toc1461"/>
      <w:bookmarkStart w:id="270" w:name="_Toc85206534"/>
      <w:bookmarkStart w:id="271" w:name="_Toc85050991"/>
      <w:bookmarkStart w:id="272" w:name="_Toc84945346"/>
      <w:bookmarkStart w:id="273" w:name="_Toc85183099"/>
      <w:bookmarkStart w:id="274" w:name="_Toc31835"/>
      <w:bookmarkStart w:id="275" w:name="_Toc1870634296"/>
      <w:bookmarkStart w:id="276" w:name="_Toc226972044"/>
      <w:bookmarkStart w:id="277" w:name="_Toc1994872214"/>
      <w:bookmarkStart w:id="278" w:name="_Toc264446400"/>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（三）推进钦北山水人文休闲区</w:t>
      </w:r>
      <w:bookmarkEnd w:id="268"/>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建设</w:t>
      </w:r>
      <w:bookmarkEnd w:id="269"/>
      <w:bookmarkEnd w:id="270"/>
      <w:bookmarkEnd w:id="271"/>
      <w:bookmarkEnd w:id="272"/>
      <w:bookmarkEnd w:id="273"/>
      <w:bookmarkEnd w:id="274"/>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275"/>
      <w:bookmarkEnd w:id="276"/>
      <w:bookmarkEnd w:id="277"/>
      <w:bookmarkEnd w:id="278"/>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依托八寨沟景区的旅游发展基础和钦北区自然山水、乡村民宿、红色文化和自然保护区的旅游资源，</w:t>
      </w:r>
      <w:r>
        <w:rPr>
          <w:rFonts w:hint="default" w:ascii="Times New Roman" w:hAnsi="Times New Roman" w:eastAsia="方正仿宋_GBK" w:cs="Times New Roman"/>
          <w:b w:val="0"/>
          <w:bCs w:val="0"/>
          <w:color w:val="000000" w:themeColor="text1"/>
          <w:sz w:val="32"/>
          <w:szCs w:val="32"/>
          <w:highlight w:val="none"/>
          <w:lang w:eastAsia="zh-CN"/>
          <w14:textFill>
            <w14:solidFill>
              <w14:schemeClr w14:val="tx1"/>
            </w14:solidFill>
          </w14:textFill>
        </w:rPr>
        <w:t>主要开发建设八寨沟片区、小董镇和板城镇红色文化等片区。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开发翠湖田园、贵台龙窑、林湖公园、碗窑梨花谷、牧歌田园、九佰垌农业公园等山水田园风光文化旅游带和望海岭北部湾国际滑翔伞基地、娥眉湾生态园等运动休闲项目，提升钦北区的旅游吸引能力和文旅盈利能力，带动王岗山自治区级自然保护区以严格保护为前提的生态旅游发展。</w:t>
      </w:r>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279" w:name="_Toc1465869065"/>
      <w:bookmarkStart w:id="280" w:name="_Toc1471576590"/>
      <w:bookmarkStart w:id="281" w:name="_Toc142"/>
      <w:bookmarkStart w:id="282" w:name="_Toc87167997"/>
      <w:bookmarkStart w:id="283" w:name="_Toc84945347"/>
      <w:bookmarkStart w:id="284" w:name="_Toc742110348"/>
      <w:bookmarkStart w:id="285" w:name="_Toc80024341"/>
      <w:r>
        <w:rPr>
          <w:rFonts w:hint="default" w:ascii="Times New Roman" w:hAnsi="Times New Roman" w:eastAsia="方正黑体_GBK" w:cs="Times New Roman"/>
          <w:b w:val="0"/>
          <w:bCs w:val="0"/>
          <w:color w:val="000000" w:themeColor="text1"/>
          <w:highlight w:val="none"/>
          <w14:textFill>
            <w14:solidFill>
              <w14:schemeClr w14:val="tx1"/>
            </w14:solidFill>
          </w14:textFill>
        </w:rPr>
        <w:t>三、</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两带链接</w:t>
      </w:r>
      <w:r>
        <w:rPr>
          <w:rFonts w:hint="eastAsia" w:ascii="Times New Roman" w:hAnsi="Times New Roman" w:eastAsia="方正黑体_GBK"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highlight w:val="none"/>
          <w14:textFill>
            <w14:solidFill>
              <w14:schemeClr w14:val="tx1"/>
            </w14:solidFill>
          </w14:textFill>
        </w:rPr>
        <w:t>做强北部湾中心城市文旅品牌</w:t>
      </w:r>
      <w:bookmarkEnd w:id="279"/>
      <w:bookmarkEnd w:id="280"/>
      <w:bookmarkEnd w:id="281"/>
      <w:bookmarkEnd w:id="282"/>
      <w:bookmarkEnd w:id="283"/>
      <w:bookmarkEnd w:id="284"/>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86" w:name="_Toc19365"/>
      <w:bookmarkStart w:id="287" w:name="_Toc85183101"/>
      <w:bookmarkStart w:id="288" w:name="_Toc85206536"/>
      <w:bookmarkStart w:id="289" w:name="_Toc85050993"/>
      <w:bookmarkStart w:id="290" w:name="_Toc84945348"/>
      <w:bookmarkStart w:id="291" w:name="_Toc23338"/>
      <w:bookmarkStart w:id="292" w:name="_Toc1398638109"/>
      <w:bookmarkStart w:id="293" w:name="_Toc412296773"/>
      <w:bookmarkStart w:id="294" w:name="_Toc1716186842"/>
      <w:bookmarkStart w:id="295" w:name="_Toc636470040"/>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（一）打造钦南滨海旅游度假休闲带</w:t>
      </w:r>
      <w:bookmarkEnd w:id="285"/>
      <w:bookmarkEnd w:id="286"/>
      <w:bookmarkEnd w:id="287"/>
      <w:bookmarkEnd w:id="288"/>
      <w:bookmarkEnd w:id="289"/>
      <w:bookmarkEnd w:id="290"/>
      <w:bookmarkEnd w:id="29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292"/>
      <w:bookmarkEnd w:id="293"/>
      <w:bookmarkEnd w:id="294"/>
      <w:bookmarkEnd w:id="295"/>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依托钦州市滨海地带道路交通以及文旅资源优势，带动茅尾海、沙督岛、七十二泾群岛、三娘湾、犀丽湾、永福湾等资源的进一步开发。</w:t>
      </w:r>
      <w:r>
        <w:rPr>
          <w:rFonts w:hint="default" w:ascii="Times New Roman" w:hAnsi="Times New Roman" w:eastAsia="方正仿宋_GBK" w:cs="Times New Roman"/>
          <w:color w:val="000000" w:themeColor="text1"/>
          <w:kern w:val="0"/>
          <w:sz w:val="32"/>
          <w:szCs w:val="32"/>
          <w14:textFill>
            <w14:solidFill>
              <w14:schemeClr w14:val="tx1"/>
            </w14:solidFill>
          </w14:textFill>
        </w:rPr>
        <w:t>依托茅尾海自治区级红树林自然保护区，发挥北部湾最北端的红树林分布区等特色优势，进一步提升观赏道路、海堤休闲步道等基础设施水平，建设鸟类观景点、红树林科研教学基地等，发展集生态观光、科学考察、研学旅游、观鸟摄影等产品，打造以红树林为主题的生态旅游示范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统筹利用滨海沿线各项要素和设施，将钦州市滨海风景道打造成为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北部湾滨海国家风景道</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，推动茅尾海、三娘湾创建自治区级、国家级旅游度假区，建成富有文化底蕴的滨海旅游度假休闲带。</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296" w:name="_Toc20580"/>
      <w:bookmarkStart w:id="297" w:name="_Toc85050994"/>
      <w:bookmarkStart w:id="298" w:name="_Toc80024342"/>
      <w:bookmarkStart w:id="299" w:name="_Toc84945349"/>
      <w:bookmarkStart w:id="300" w:name="_Toc85206537"/>
      <w:bookmarkStart w:id="301" w:name="_Toc85183102"/>
      <w:bookmarkStart w:id="302" w:name="_Toc4353"/>
      <w:bookmarkStart w:id="303" w:name="_Toc956973195"/>
      <w:bookmarkStart w:id="304" w:name="_Toc1967355995"/>
      <w:bookmarkStart w:id="305" w:name="_Toc947673120"/>
      <w:bookmarkStart w:id="306" w:name="_Toc180186528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（二）打造钦江文化旅游生态休闲带</w:t>
      </w:r>
      <w:bookmarkEnd w:id="296"/>
      <w:bookmarkEnd w:id="297"/>
      <w:bookmarkEnd w:id="298"/>
      <w:bookmarkEnd w:id="299"/>
      <w:bookmarkEnd w:id="300"/>
      <w:bookmarkEnd w:id="301"/>
      <w:bookmarkEnd w:id="30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03"/>
      <w:bookmarkEnd w:id="304"/>
      <w:bookmarkEnd w:id="305"/>
      <w:bookmarkEnd w:id="306"/>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面对接平陆运河入海通道战略，连通钦江水系，串联灵山、钦北、钦南，推动江（钦江）—海（茅尾海）—湖（白石湖）—山（六峰山）—岛（龙门群岛）文旅有机联系，整合沿江生态文旅休闲资源，发展文化旅游、生态旅游。开展沿江文化旅游资源普查，推动沿江旅游项目和城市休闲项目提质升级。</w:t>
      </w:r>
      <w:r>
        <w:rPr>
          <w:rFonts w:hint="default" w:ascii="Times New Roman" w:hAnsi="Times New Roman" w:eastAsia="方正仿宋_GBK" w:cs="Times New Roman"/>
          <w:color w:val="000000" w:themeColor="text1"/>
          <w:sz w:val="32"/>
          <w:szCs w:val="32"/>
          <w14:textFill>
            <w14:solidFill>
              <w14:schemeClr w14:val="tx1"/>
            </w14:solidFill>
          </w14:textFill>
        </w:rPr>
        <w:t>加强沿平陆运河的旅游交通、标识系统、博物馆等文旅基础服务设施建设，完善沿江旅游休闲与服务功能，</w:t>
      </w:r>
      <w:r>
        <w:rPr>
          <w:rFonts w:hint="default" w:ascii="Times New Roman" w:hAnsi="Times New Roman" w:eastAsia="方正仿宋_GBK" w:cs="Times New Roman"/>
          <w:color w:val="000000" w:themeColor="text1"/>
          <w:kern w:val="0"/>
          <w:sz w:val="32"/>
          <w:szCs w:val="32"/>
          <w14:textFill>
            <w14:solidFill>
              <w14:schemeClr w14:val="tx1"/>
            </w14:solidFill>
          </w14:textFill>
        </w:rPr>
        <w:t>整合平陆运河沿线文化、生态、农业等旅游资源，打造运河旅游经济带，</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形成依托运河邮轮 、历史文化、生态农业、森林康养等旅游服务产品。通过在运河沿线建设慢行道，设置邮轮码头、集散中心、沿线观景平台</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发展运河水上巴士、开发邮轮旅游项目、夜游钦江项目、夜间文化和旅游集聚区等。挖掘齐白石文化艺术内涵，建设白石湖文化休闲公园。挖掘江海联动的乡村旅游体验特征，建设平山岛休闲度假区。挖掘西坑古运河资源、古代海上丝路文化资源，建设九河渡—大风江沿线文化旅游带。</w:t>
      </w:r>
    </w:p>
    <w:bookmarkEnd w:id="193"/>
    <w:p>
      <w:pPr>
        <w:ind w:firstLine="643"/>
        <w:rPr>
          <w:rFonts w:ascii="Times New Roman" w:hAnsi="Times New Roman" w:eastAsia="仿宋_GB2312" w:cs="Times New Roman"/>
          <w:b/>
          <w:color w:val="000000" w:themeColor="text1"/>
          <w:kern w:val="44"/>
          <w:sz w:val="32"/>
          <w:szCs w:val="32"/>
          <w:highlight w:val="none"/>
          <w14:textFill>
            <w14:solidFill>
              <w14:schemeClr w14:val="tx1"/>
            </w14:solidFill>
          </w14:textFill>
        </w:rPr>
      </w:pPr>
      <w:bookmarkStart w:id="307" w:name="_Toc36630460"/>
      <w:bookmarkStart w:id="308" w:name="_Toc62549412"/>
      <w:bookmarkStart w:id="309" w:name="_Toc35248318"/>
      <w:bookmarkStart w:id="310" w:name="_Toc29130374"/>
      <w:bookmarkStart w:id="311" w:name="_Toc80024393"/>
      <w:r>
        <w:rPr>
          <w:rFonts w:hint="default" w:ascii="Times New Roman" w:hAnsi="Times New Roman" w:eastAsia="仿宋_GB2312" w:cs="Times New Roman"/>
          <w:b/>
          <w:color w:val="000000" w:themeColor="text1"/>
          <w:kern w:val="44"/>
          <w:sz w:val="32"/>
          <w:szCs w:val="32"/>
          <w:highlight w:val="none"/>
          <w14:textFill>
            <w14:solidFill>
              <w14:schemeClr w14:val="tx1"/>
            </w14:solidFill>
          </w14:textFill>
        </w:rPr>
        <w:br w:type="page"/>
      </w:r>
    </w:p>
    <w:p>
      <w:pPr>
        <w:pStyle w:val="29"/>
        <w:spacing w:before="190" w:beforeLines="50" w:after="190" w:afterLines="50"/>
        <w:rPr>
          <w:rFonts w:hint="eastAsia" w:ascii="方正小标宋_GBK" w:hAnsi="方正小标宋_GBK" w:eastAsia="方正小标宋_GBK" w:cs="方正小标宋_GBK"/>
          <w:b w:val="0"/>
          <w:bCs w:val="0"/>
          <w:color w:val="000000" w:themeColor="text1"/>
          <w:sz w:val="21"/>
          <w:szCs w:val="24"/>
          <w:highlight w:val="none"/>
          <w14:textFill>
            <w14:solidFill>
              <w14:schemeClr w14:val="tx1"/>
            </w14:solidFill>
          </w14:textFill>
        </w:rPr>
      </w:pPr>
      <w:bookmarkStart w:id="312" w:name="_Toc1533794256"/>
      <w:bookmarkStart w:id="313" w:name="_Toc1624575625"/>
      <w:bookmarkStart w:id="314" w:name="_Toc1412867702"/>
      <w:bookmarkStart w:id="315" w:name="_Toc1017"/>
      <w:bookmarkStart w:id="316" w:name="_Toc277721062"/>
      <w:bookmarkStart w:id="317" w:name="_Toc84945350"/>
      <w:r>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t>第四章  主要任务</w:t>
      </w:r>
      <w:bookmarkEnd w:id="312"/>
      <w:bookmarkEnd w:id="313"/>
      <w:bookmarkEnd w:id="314"/>
      <w:bookmarkEnd w:id="315"/>
      <w:bookmarkEnd w:id="316"/>
      <w:bookmarkEnd w:id="317"/>
    </w:p>
    <w:p>
      <w:pPr>
        <w:pStyle w:val="4"/>
        <w:spacing w:before="0" w:after="0" w:line="560" w:lineRule="atLeast"/>
        <w:ind w:firstLine="643"/>
        <w:jc w:val="left"/>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318" w:name="_Toc32026"/>
      <w:bookmarkStart w:id="319" w:name="_Toc84945351"/>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320" w:name="_Toc1730246518"/>
      <w:bookmarkStart w:id="321" w:name="_Toc745455858"/>
      <w:bookmarkStart w:id="322" w:name="_Toc139752403"/>
      <w:bookmarkStart w:id="323" w:name="_Toc613883411"/>
      <w:r>
        <w:rPr>
          <w:rFonts w:hint="default" w:ascii="Times New Roman" w:hAnsi="Times New Roman" w:eastAsia="方正黑体_GBK" w:cs="Times New Roman"/>
          <w:b w:val="0"/>
          <w:bCs w:val="0"/>
          <w:color w:val="000000" w:themeColor="text1"/>
          <w:highlight w:val="none"/>
          <w14:textFill>
            <w14:solidFill>
              <w14:schemeClr w14:val="tx1"/>
            </w14:solidFill>
          </w14:textFill>
        </w:rPr>
        <w:t>一、促进和提升社会文明</w:t>
      </w:r>
      <w:bookmarkEnd w:id="318"/>
      <w:bookmarkEnd w:id="320"/>
      <w:bookmarkEnd w:id="321"/>
      <w:bookmarkEnd w:id="322"/>
      <w:bookmarkEnd w:id="323"/>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324" w:name="_Toc2571"/>
      <w:bookmarkStart w:id="325" w:name="_Toc75423669"/>
      <w:bookmarkStart w:id="326" w:name="_Toc85206540"/>
      <w:bookmarkStart w:id="327" w:name="_Toc75944428"/>
      <w:bookmarkStart w:id="328" w:name="_Toc85183105"/>
      <w:bookmarkStart w:id="329" w:name="_Toc358556272"/>
      <w:bookmarkStart w:id="330" w:name="_Toc915532209"/>
      <w:bookmarkStart w:id="331" w:name="_Toc101543303"/>
      <w:bookmarkStart w:id="332" w:name="_Toc1305317833"/>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（一）弘扬社会主义核心价值观</w:t>
      </w:r>
      <w:bookmarkEnd w:id="324"/>
      <w:bookmarkEnd w:id="325"/>
      <w:bookmarkEnd w:id="326"/>
      <w:bookmarkEnd w:id="327"/>
      <w:bookmarkEnd w:id="328"/>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29"/>
      <w:bookmarkEnd w:id="330"/>
      <w:bookmarkEnd w:id="331"/>
      <w:bookmarkEnd w:id="332"/>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2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把社会主义核心价值观融入文艺作品创作、文化产品和旅游产品供给全过程，加强爱国主义、集体主义、社会主义的宣传展示教育，引导人们树立正确的历史观、民族观、国家观、文化观，弘扬主旋律，壮大正能量。广泛运用文艺作品、艺术展演、群众性文化活动</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重大节庆等开展优秀传统文化教育普及活动和精神文明创建活动，活跃社会文化生活，提高人民群众文明素养和审美水平。深入发掘和宣传代表钦州先进文化形象的历史事件、重要人物、人文景观、文化传统和民间艺术，进一步讲好钦州故事，弘扬钦州精神，展现</w:t>
      </w:r>
      <w:bookmarkStart w:id="333" w:name="_Hlk75935040"/>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钦州</w:t>
      </w:r>
      <w:bookmarkEnd w:id="333"/>
      <w:r>
        <w:rPr>
          <w:rFonts w:hint="default" w:ascii="Times New Roman" w:hAnsi="Times New Roman" w:eastAsia="方正仿宋_GBK" w:cs="Times New Roman"/>
          <w:color w:val="000000" w:themeColor="text1"/>
          <w:sz w:val="32"/>
          <w:szCs w:val="32"/>
          <w:highlight w:val="none"/>
          <w14:textFill>
            <w14:solidFill>
              <w14:schemeClr w14:val="tx1"/>
            </w14:solidFill>
          </w14:textFill>
        </w:rPr>
        <w:t>形象。通过文艺作品、文化活动、文旅体验、公共服务等，倡导科学、文明、健康的生活方式，引导群众自觉破除陈规陋习，树立文明新风。严格落实意识形态工作责任制，加强文艺作品、文化活动的内容审查，坚持正确价值导向。</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334" w:name="（二）提升人民群众文明素养和审美水平"/>
      <w:bookmarkEnd w:id="334"/>
      <w:bookmarkStart w:id="335" w:name="_Toc85183106"/>
      <w:bookmarkStart w:id="336" w:name="_Toc85206541"/>
      <w:bookmarkStart w:id="337" w:name="_Toc75423670"/>
      <w:bookmarkStart w:id="338" w:name="_Toc28391"/>
      <w:bookmarkStart w:id="339" w:name="_Toc75944429"/>
      <w:bookmarkStart w:id="340" w:name="_Toc112212828"/>
      <w:bookmarkStart w:id="341" w:name="_Toc1430743093"/>
      <w:bookmarkStart w:id="342" w:name="_Toc943142418"/>
      <w:bookmarkStart w:id="343" w:name="_Toc2076672677"/>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（二）提升人民群众文明素养和审美水平</w:t>
      </w:r>
      <w:bookmarkEnd w:id="335"/>
      <w:bookmarkEnd w:id="336"/>
      <w:bookmarkEnd w:id="337"/>
      <w:bookmarkEnd w:id="338"/>
      <w:bookmarkEnd w:id="339"/>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40"/>
      <w:bookmarkEnd w:id="341"/>
      <w:bookmarkEnd w:id="342"/>
      <w:bookmarkEnd w:id="343"/>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丰富人民群众的社会文化生活，大力开展文化下乡、文化惠民演出，</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戏曲进乡村</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非遗进校园等活动，为人民群众提供健康丰富的精神食粮，将文化扶志与扶智相结合，送文化和种文化相结合。加强全民艺术普及，积极利用文化场馆开展艺术展演和艺术培训，充分利用公共场所普及艺术知识。广泛开展群众性文化活动，提高人民群众的艺术鉴赏能力、艺术修养和审美水平。大力推进文明旅游，积极开展文明景区、文明旅行社、文明导游、文明示范岗等</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工作</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，树立钦州文明旅游新形象。</w:t>
      </w:r>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344" w:name="_Toc613997929"/>
      <w:bookmarkStart w:id="345" w:name="_Toc32565"/>
      <w:bookmarkStart w:id="346" w:name="_Toc1035331873"/>
      <w:bookmarkStart w:id="347" w:name="_Toc567745237"/>
      <w:bookmarkStart w:id="348" w:name="_Toc1107525777"/>
      <w:r>
        <w:rPr>
          <w:rFonts w:hint="default" w:ascii="Times New Roman" w:hAnsi="Times New Roman" w:eastAsia="方正黑体_GBK" w:cs="Times New Roman"/>
          <w:b w:val="0"/>
          <w:bCs w:val="0"/>
          <w:color w:val="000000" w:themeColor="text1"/>
          <w:highlight w:val="none"/>
          <w14:textFill>
            <w14:solidFill>
              <w14:schemeClr w14:val="tx1"/>
            </w14:solidFill>
          </w14:textFill>
        </w:rPr>
        <w:t>二、促进文化事业和产业蓬勃发展</w:t>
      </w:r>
      <w:bookmarkEnd w:id="319"/>
      <w:bookmarkEnd w:id="344"/>
      <w:bookmarkEnd w:id="345"/>
      <w:bookmarkEnd w:id="346"/>
      <w:bookmarkEnd w:id="347"/>
      <w:bookmarkEnd w:id="348"/>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349" w:name="_Toc11226"/>
      <w:bookmarkStart w:id="350" w:name="_Toc85206543"/>
      <w:bookmarkStart w:id="351" w:name="_Toc85183108"/>
      <w:bookmarkStart w:id="352" w:name="_Toc1228454554"/>
      <w:bookmarkStart w:id="353" w:name="_Toc2036735779"/>
      <w:bookmarkStart w:id="354" w:name="_Toc1247649220"/>
      <w:bookmarkStart w:id="355" w:name="_Toc1225582875"/>
      <w:bookmarkStart w:id="356" w:name="_Toc85050997"/>
      <w:bookmarkStart w:id="357" w:name="_Toc84945352"/>
      <w:bookmarkStart w:id="358" w:name="_Toc7239"/>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（一）推动新时代艺术创作高质量发展</w:t>
      </w:r>
      <w:bookmarkEnd w:id="349"/>
      <w:bookmarkEnd w:id="350"/>
      <w:bookmarkEnd w:id="35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52"/>
      <w:bookmarkEnd w:id="353"/>
      <w:bookmarkEnd w:id="354"/>
      <w:bookmarkEnd w:id="355"/>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推进文艺精品创作工程，登</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高原</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攀</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高峰</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pStyle w:val="32"/>
        <w:spacing w:line="54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坚持以人民为中心、坚持以精品奉献人民、坚持以明德引领风尚，开创精品创作新局面。围绕中国共产党成立100周年、党的二十大</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胜利召开</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、新中国成立75周年、钦州撤地设市30周年等重大时间节点，围绕广西</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五个一工程奖</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、广西音乐金钟奖、广西文艺创作铜鼓奖、广西剧展、广西音乐舞蹈大赛、全区基层群众文艺会演等自治区级以上赛事活动，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围绕</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北部湾滨海休闲中心城市定位、</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爱和勇气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文化旅游主题，开展新时代重大题材、民族题材、海洋题材等精品主题创作。培育</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钦州有戏</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品牌，</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深入挖掘英雄文化、乡贤文化、坭兴陶文化、海丝文化、非遗文化等本土特色文化</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，重点围绕滨海休闲特色策划专题创作，打造一批</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全区乃至全国</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具有</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影响力的舞台艺术、音乐、舞蹈、曲艺、文学、摄影书法、美术、旅游演艺等文艺精品，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勇攀艺术创作高峰。</w:t>
      </w:r>
    </w:p>
    <w:p>
      <w:pPr>
        <w:ind w:firstLine="643"/>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强化艺术创作扶持计划，激潜能创活力</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pStyle w:val="32"/>
        <w:spacing w:line="540" w:lineRule="exact"/>
        <w:ind w:firstLine="707" w:firstLineChars="221"/>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建立健全艺术创作生产扶持资助体系，完善各项文艺扶持政策，重点扶持</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新时代的重大现实题材、革命历史题材、传统文化题材、少儿题材</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创作</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加大对</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地方特色优秀剧目、优秀剧本、钦州民族音乐、钦州旅游演艺精品的扶持力度。建立健全对具有示范性、引领性作用的原创精品扶持机制，推动设立钦州艺术基金。鼓励文艺创作的题材、体裁、内容、形式创新，引导创建新兴文艺类型创新发展，激发文艺工作者的创新精神和创造活力。积极申报国家、自治区各类文艺精品扶持项目，争取国家艺术基金和自治区重点艺术创作类资助，推动文艺作品量质齐升。</w:t>
      </w:r>
    </w:p>
    <w:p>
      <w:pPr>
        <w:ind w:firstLine="643"/>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3.</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加强艺术精品宣传推广，提声望扩影响</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pStyle w:val="32"/>
        <w:spacing w:line="54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积极参加全国和全区的各类专业艺术活动，持续承办和举办全国渔歌邀请赛，全市全民声乐大赛、全市青少年器乐大赛、</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壮族三月三民歌</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、基层群众文艺会演选拔赛等活动赛事。积极承办全区或全国性的专业（群众）艺术活动，选拔和推荐优秀作品参加全区、全国艺术展示活动。扶持钦州优秀艺术作品参加全区或全国的展演、展示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评选活动，强化与各兄弟市之间的艺术文化交流学习，大力推动钦州优秀艺术精品走出去，取长补短，扩大影响。加大宣传推广，融合网络文艺创新，线</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上</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线下演播融合发展，利用新型传播渠道在重点时段、重要版面、重点网站进行多方位、多层次、立体式传播，进一步提升</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钦州艺术精品的传播力和影响力。</w:t>
      </w:r>
    </w:p>
    <w:p>
      <w:pPr>
        <w:numPr>
          <w:ilvl w:val="0"/>
          <w:numId w:val="10"/>
        </w:numPr>
        <w:ind w:left="0" w:leftChars="0" w:firstLine="642" w:firstLineChars="200"/>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提高艺术人才培养水平，育新人造领军</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pStyle w:val="32"/>
        <w:spacing w:line="540" w:lineRule="exact"/>
        <w:ind w:firstLine="672" w:firstLineChars="21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完善艺术人才培养管理使用体制机制，年轻化、高水平创作人才脱颖而出，层次分明、专业齐备的艺术人才培养体系初步建立。推动文艺名家培养工程，针对重点人才制定</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一人一策</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培养方案，依托市直文化部门人才的专业培训，把大师、专家</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请进来</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，把有潜力的中青年音乐人才</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送出去</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接受高层次培训，培养造就一批文化领军人才和高素质人才。进一步健全优秀艺术创作人才激励机制，完善人才培养、引进、管理、保障与奖励机制，试行与优秀艺术创作人才签约制度，成立专家库。支持艺术名家采取收徒、传帮带方式进行艺术传承。</w:t>
      </w:r>
    </w:p>
    <w:p>
      <w:pPr>
        <w:numPr>
          <w:ilvl w:val="0"/>
          <w:numId w:val="10"/>
        </w:numPr>
        <w:ind w:left="0" w:leftChars="0" w:firstLine="642" w:firstLineChars="200"/>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深化国有文艺院团建设，促改革提效能</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贯彻落实自治区《关于深化国有文艺院团改革的实施意见》，全面推进国有文艺院团改革，实施</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一团一策</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完善保障机制，建设新时代文艺院团。推动文艺院团聚焦主责主业，提升专业水平，以创作为中心任务，以演出为中心环节，促进国有文艺院团内生动力和效能。建立健全政府扶持国有院团机制，通过优先采购国有院团、演艺公司的产品和服务，加大公益性演出财政补贴等措施。强化国有文艺院团社会效益考核机制，坚持把社会效益放在首位，实现社会效益和经济效益相统一。</w:t>
      </w:r>
    </w:p>
    <w:p>
      <w:pPr>
        <w:numPr>
          <w:ilvl w:val="0"/>
          <w:numId w:val="10"/>
        </w:numPr>
        <w:ind w:left="0" w:leftChars="0" w:firstLine="642" w:firstLineChars="200"/>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提升文艺评论专业水平，建体系强阵地</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widowControl/>
        <w:spacing w:line="540" w:lineRule="exact"/>
        <w:ind w:firstLine="640"/>
        <w:jc w:val="left"/>
        <w:rPr>
          <w:rFonts w:hint="default" w:ascii="Times New Roman" w:hAnsi="Times New Roman" w:eastAsia="方正仿宋_GBK" w:cs="Times New Roman"/>
          <w:b/>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lang w:bidi="ar"/>
          <w14:textFill>
            <w14:solidFill>
              <w14:schemeClr w14:val="tx1"/>
            </w14:solidFill>
          </w14:textFill>
        </w:rPr>
        <w:t>建立健全文艺评论工作体系建设，加强文艺评论阵地建设和理论研究。建立文艺评论工作协调机制，把好工作导向，协同引导评论工作。发扬艺术民主，提倡批评精神，坚持从作品出发，提高文艺评论的专业性和说服力。搭建有影响力的文艺评论平台，加强文艺评论队伍建设，结合重大展演、重点剧目开展评论，把群众评价、专家评价和市场检验统一起来，营造风清气正的文艺评论氛围。</w:t>
      </w:r>
    </w:p>
    <w:p>
      <w:pPr>
        <w:numPr>
          <w:ilvl w:val="0"/>
          <w:numId w:val="10"/>
        </w:numPr>
        <w:ind w:left="0" w:leftChars="0" w:firstLine="642" w:firstLineChars="200"/>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打造文艺创作创新品牌，抓示范立标杆</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围绕创新理念，着力打造钦州文艺创作创新品牌，一是重点培育打造艺术名家创作工作室</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。落实文化荣誉制度，支持钦州在广西、全国有知名度、影响力的艺术名家创建艺术名家创作工作室，培养造就培育德才兼备、德艺双馨的文化名家。二是重点</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培育打造艺术名家创作基地</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。在全市范围内选择</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拥有独特的人文背景或自然风光的景区、村庄、民宿、艺术区作为艺术名家创作基地，为艺术名家们打造一个独立的创作空间和公共的交流展示空间，为创作出高质量艺术作品打下基础。</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重点围绕滨海休闲城市，打造</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滨海文艺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创作基地，定期组织文艺名家、学者开展艺术创作，打造示范艺术作品，树立行业标杆。</w:t>
      </w:r>
    </w:p>
    <w:p>
      <w:pPr>
        <w:spacing w:line="240" w:lineRule="auto"/>
        <w:ind w:firstLine="420"/>
        <w:rPr>
          <w:rFonts w:hint="default" w:ascii="Times New Roman" w:hAnsi="Times New Roman" w:eastAsia="方正仿宋_GBK" w:cs="Times New Roman"/>
          <w:color w:val="000000" w:themeColor="text1"/>
          <w:sz w:val="21"/>
          <w:szCs w:val="24"/>
          <w:highlight w:val="none"/>
          <w14:textFill>
            <w14:solidFill>
              <w14:schemeClr w14:val="tx1"/>
            </w14:solidFill>
          </w14:textFill>
        </w:rPr>
      </w:pP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852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专栏4-1 艺术创作重点项目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9" w:hRule="atLeast"/>
          <w:jc w:val="center"/>
        </w:trPr>
        <w:tc>
          <w:tcPr>
            <w:tcW w:w="8522" w:type="dxa"/>
            <w:tcMar>
              <w:top w:w="0" w:type="dxa"/>
              <w:left w:w="108" w:type="dxa"/>
              <w:bottom w:w="0" w:type="dxa"/>
              <w:right w:w="108" w:type="dxa"/>
            </w:tcMar>
            <w:vAlign w:val="center"/>
          </w:tcPr>
          <w:p>
            <w:pPr>
              <w:pStyle w:val="32"/>
              <w:spacing w:line="400" w:lineRule="exact"/>
              <w:ind w:firstLine="56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0"/>
                <w:highlight w:val="none"/>
                <w14:textFill>
                  <w14:solidFill>
                    <w14:schemeClr w14:val="tx1"/>
                  </w14:solidFill>
                </w14:textFill>
              </w:rPr>
              <w:t>新创作剧（节）目不少于100部（个），包括新创1部</w:t>
            </w:r>
            <w:r>
              <w:rPr>
                <w:rFonts w:hint="default" w:ascii="Times New Roman" w:hAnsi="Times New Roman" w:eastAsia="方正仿宋_GBK" w:cs="Times New Roman"/>
                <w:color w:val="000000" w:themeColor="text1"/>
                <w:sz w:val="24"/>
                <w:szCs w:val="20"/>
                <w:highlight w:val="none"/>
                <w:lang w:eastAsia="zh-CN"/>
                <w14:textFill>
                  <w14:solidFill>
                    <w14:schemeClr w14:val="tx1"/>
                  </w14:solidFill>
                </w14:textFill>
              </w:rPr>
              <w:t>以上</w:t>
            </w:r>
            <w:r>
              <w:rPr>
                <w:rFonts w:hint="default" w:ascii="Times New Roman" w:hAnsi="Times New Roman" w:eastAsia="方正仿宋_GBK" w:cs="Times New Roman"/>
                <w:color w:val="000000" w:themeColor="text1"/>
                <w:sz w:val="24"/>
                <w:szCs w:val="20"/>
                <w:highlight w:val="none"/>
                <w14:textFill>
                  <w14:solidFill>
                    <w14:schemeClr w14:val="tx1"/>
                  </w14:solidFill>
                </w14:textFill>
              </w:rPr>
              <w:t>大型舞台艺术作品，新创10部</w:t>
            </w:r>
            <w:r>
              <w:rPr>
                <w:rFonts w:hint="default" w:ascii="Times New Roman" w:hAnsi="Times New Roman" w:eastAsia="方正仿宋_GBK" w:cs="Times New Roman"/>
                <w:color w:val="000000" w:themeColor="text1"/>
                <w:sz w:val="24"/>
                <w:szCs w:val="20"/>
                <w:highlight w:val="none"/>
                <w:lang w:eastAsia="zh-CN"/>
                <w14:textFill>
                  <w14:solidFill>
                    <w14:schemeClr w14:val="tx1"/>
                  </w14:solidFill>
                </w14:textFill>
              </w:rPr>
              <w:t>以上</w:t>
            </w:r>
            <w:r>
              <w:rPr>
                <w:rFonts w:hint="default" w:ascii="Times New Roman" w:hAnsi="Times New Roman" w:eastAsia="方正仿宋_GBK" w:cs="Times New Roman"/>
                <w:color w:val="000000" w:themeColor="text1"/>
                <w:sz w:val="24"/>
                <w:szCs w:val="20"/>
                <w:highlight w:val="none"/>
                <w14:textFill>
                  <w14:solidFill>
                    <w14:schemeClr w14:val="tx1"/>
                  </w14:solidFill>
                </w14:textFill>
              </w:rPr>
              <w:t>小戏小品，新创90（部、件）</w:t>
            </w:r>
            <w:r>
              <w:rPr>
                <w:rFonts w:hint="default" w:ascii="Times New Roman" w:hAnsi="Times New Roman" w:eastAsia="方正仿宋_GBK" w:cs="Times New Roman"/>
                <w:color w:val="000000" w:themeColor="text1"/>
                <w:sz w:val="24"/>
                <w:szCs w:val="20"/>
                <w:highlight w:val="none"/>
                <w:lang w:eastAsia="zh-CN"/>
                <w14:textFill>
                  <w14:solidFill>
                    <w14:schemeClr w14:val="tx1"/>
                  </w14:solidFill>
                </w14:textFill>
              </w:rPr>
              <w:t>以上</w:t>
            </w:r>
            <w:r>
              <w:rPr>
                <w:rFonts w:hint="default" w:ascii="Times New Roman" w:hAnsi="Times New Roman" w:eastAsia="方正仿宋_GBK" w:cs="Times New Roman"/>
                <w:color w:val="000000" w:themeColor="text1"/>
                <w:sz w:val="24"/>
                <w:szCs w:val="20"/>
                <w:highlight w:val="none"/>
                <w14:textFill>
                  <w14:solidFill>
                    <w14:schemeClr w14:val="tx1"/>
                  </w14:solidFill>
                </w14:textFill>
              </w:rPr>
              <w:t>音乐（歌曲）、舞蹈、曲艺、器乐、美术、书法等各门类优秀文艺作品；创作质量明显提升，力争新创1</w:t>
            </w:r>
            <w:r>
              <w:rPr>
                <w:rFonts w:hint="default" w:ascii="Times New Roman" w:hAnsi="Times New Roman" w:eastAsia="方正仿宋_GBK" w:cs="Times New Roman"/>
                <w:color w:val="000000" w:themeColor="text1"/>
                <w:sz w:val="24"/>
                <w:szCs w:val="20"/>
                <w:highlight w:val="none"/>
                <w:lang w:eastAsia="zh-CN"/>
                <w14:textFill>
                  <w14:solidFill>
                    <w14:schemeClr w14:val="tx1"/>
                  </w14:solidFill>
                </w14:textFill>
              </w:rPr>
              <w:t>部</w:t>
            </w:r>
            <w:r>
              <w:rPr>
                <w:rFonts w:hint="default" w:ascii="Times New Roman" w:hAnsi="Times New Roman" w:eastAsia="方正仿宋_GBK" w:cs="Times New Roman"/>
                <w:color w:val="000000" w:themeColor="text1"/>
                <w:sz w:val="24"/>
                <w:szCs w:val="20"/>
                <w:highlight w:val="none"/>
                <w14:textFill>
                  <w14:solidFill>
                    <w14:schemeClr w14:val="tx1"/>
                  </w14:solidFill>
                </w14:textFill>
              </w:rPr>
              <w:t>（</w:t>
            </w:r>
            <w:r>
              <w:rPr>
                <w:rFonts w:hint="default" w:ascii="Times New Roman" w:hAnsi="Times New Roman" w:eastAsia="方正仿宋_GBK" w:cs="Times New Roman"/>
                <w:color w:val="000000" w:themeColor="text1"/>
                <w:sz w:val="24"/>
                <w:szCs w:val="20"/>
                <w:highlight w:val="none"/>
                <w:lang w:eastAsia="zh-CN"/>
                <w14:textFill>
                  <w14:solidFill>
                    <w14:schemeClr w14:val="tx1"/>
                  </w14:solidFill>
                </w14:textFill>
              </w:rPr>
              <w:t>个</w:t>
            </w:r>
            <w:r>
              <w:rPr>
                <w:rFonts w:hint="default" w:ascii="Times New Roman" w:hAnsi="Times New Roman" w:eastAsia="方正仿宋_GBK" w:cs="Times New Roman"/>
                <w:color w:val="000000" w:themeColor="text1"/>
                <w:sz w:val="24"/>
                <w:szCs w:val="20"/>
                <w:highlight w:val="none"/>
                <w14:textFill>
                  <w14:solidFill>
                    <w14:schemeClr w14:val="tx1"/>
                  </w14:solidFill>
                </w14:textFill>
              </w:rPr>
              <w:t>）以上舞台艺术作品获得国家</w:t>
            </w:r>
            <w:r>
              <w:rPr>
                <w:rFonts w:hint="default" w:ascii="Times New Roman" w:hAnsi="Times New Roman" w:eastAsia="方正仿宋_GBK" w:cs="Times New Roman"/>
                <w:color w:val="000000" w:themeColor="text1"/>
                <w:sz w:val="24"/>
                <w:szCs w:val="20"/>
                <w:highlight w:val="none"/>
                <w:lang w:eastAsia="zh-CN"/>
                <w14:textFill>
                  <w14:solidFill>
                    <w14:schemeClr w14:val="tx1"/>
                  </w14:solidFill>
                </w14:textFill>
              </w:rPr>
              <w:t>级奖项</w:t>
            </w:r>
            <w:r>
              <w:rPr>
                <w:rFonts w:hint="default" w:ascii="Times New Roman" w:hAnsi="Times New Roman" w:eastAsia="方正仿宋_GBK" w:cs="Times New Roman"/>
                <w:color w:val="000000" w:themeColor="text1"/>
                <w:sz w:val="24"/>
                <w:szCs w:val="20"/>
                <w:highlight w:val="none"/>
                <w14:textFill>
                  <w14:solidFill>
                    <w14:schemeClr w14:val="tx1"/>
                  </w14:solidFill>
                </w14:textFill>
              </w:rPr>
              <w:t>，5部</w:t>
            </w:r>
            <w:r>
              <w:rPr>
                <w:rFonts w:hint="default" w:ascii="Times New Roman" w:hAnsi="Times New Roman" w:eastAsia="方正仿宋_GBK" w:cs="Times New Roman"/>
                <w:color w:val="000000" w:themeColor="text1"/>
                <w:sz w:val="24"/>
                <w:szCs w:val="20"/>
                <w:highlight w:val="none"/>
                <w:lang w:eastAsia="zh-CN"/>
                <w14:textFill>
                  <w14:solidFill>
                    <w14:schemeClr w14:val="tx1"/>
                  </w14:solidFill>
                </w14:textFill>
              </w:rPr>
              <w:t>以上</w:t>
            </w:r>
            <w:r>
              <w:rPr>
                <w:rFonts w:hint="default" w:ascii="Times New Roman" w:hAnsi="Times New Roman" w:eastAsia="方正仿宋_GBK" w:cs="Times New Roman"/>
                <w:color w:val="000000" w:themeColor="text1"/>
                <w:sz w:val="24"/>
                <w:szCs w:val="20"/>
                <w:highlight w:val="none"/>
                <w14:textFill>
                  <w14:solidFill>
                    <w14:schemeClr w14:val="tx1"/>
                  </w14:solidFill>
                </w14:textFill>
              </w:rPr>
              <w:t>舞台艺术作品在全区乃至全国获得一定影响力。</w:t>
            </w:r>
          </w:p>
        </w:tc>
      </w:tr>
    </w:tbl>
    <w:p>
      <w:pPr>
        <w:spacing w:line="240" w:lineRule="auto"/>
        <w:ind w:firstLine="420"/>
        <w:rPr>
          <w:rFonts w:hint="default" w:ascii="Times New Roman" w:hAnsi="Times New Roman" w:eastAsia="方正仿宋_GBK" w:cs="Times New Roman"/>
          <w:color w:val="000000" w:themeColor="text1"/>
          <w:sz w:val="21"/>
          <w:szCs w:val="24"/>
          <w:highlight w:val="none"/>
          <w14:textFill>
            <w14:solidFill>
              <w14:schemeClr w14:val="tx1"/>
            </w14:solidFill>
          </w14:textFill>
        </w:rPr>
      </w:pP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8522"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专栏4-2 艺术创作重点扶持计划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9" w:hRule="atLeast"/>
          <w:jc w:val="center"/>
        </w:trPr>
        <w:tc>
          <w:tcPr>
            <w:tcW w:w="8522" w:type="dxa"/>
            <w:tcMar>
              <w:top w:w="0" w:type="dxa"/>
              <w:left w:w="108" w:type="dxa"/>
              <w:bottom w:w="0" w:type="dxa"/>
              <w:right w:w="108" w:type="dxa"/>
            </w:tcMar>
            <w:vAlign w:val="center"/>
          </w:tcPr>
          <w:p>
            <w:pPr>
              <w:spacing w:line="400" w:lineRule="exact"/>
              <w:ind w:firstLine="562"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实施地方特色优秀剧目扶持计划。</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重点关注和扶持海歌剧、粤剧、采茶戏、僚剧等在钦州有较大影响力和深厚群众基础的剧目剧种。努力形成策划一批、创作一批、演出一批的优秀作品创作生产机制。</w:t>
            </w:r>
          </w:p>
          <w:p>
            <w:pPr>
              <w:pStyle w:val="32"/>
              <w:spacing w:line="40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实施优秀剧本扶持计划。</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加强现实题材、爱国主义题材、重大革命和历史题材、民族题材、青少年题材、民俗题材等剧本创作，反映钦州凝心聚力、开启发展新征程的伟大担当和原创能力。</w:t>
            </w:r>
          </w:p>
          <w:p>
            <w:pPr>
              <w:pStyle w:val="32"/>
              <w:spacing w:line="40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实施钦州民族音乐扶持计划。</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通过歌曲征集、比赛等形式引导文艺工作者深入基层，学习和传承民族音乐，扶持原生态、民族、流行、美声等音乐作品创作。</w:t>
            </w:r>
          </w:p>
          <w:p>
            <w:pPr>
              <w:spacing w:line="40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实施钦州旅游演艺精品提升计划。</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充分运用钦州丰富的旅游资源、旅游市场，对旅游演艺精品高质量发展进行整体规划，鼓励创作以钦州特色文化旅游资源为题材的文学、戏剧、音乐、美术、影视剧作品及广播电视、网络视听、综艺节目。推进景区开发高品质的实景演出、主题公园演出、驻场演出和旅游巡演项目，不断探索文艺精品与旅游产品深度融合的路径。</w:t>
            </w:r>
          </w:p>
          <w:p>
            <w:pPr>
              <w:pStyle w:val="32"/>
              <w:spacing w:line="40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实施优秀艺术创作人才签约计划</w:t>
            </w:r>
            <w:r>
              <w:rPr>
                <w:rFonts w:hint="default"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进一步健全优秀艺术创作人才激励机制，完善人才培养、引进、管理、保障与奖励机制，试行与优秀艺术创作人才签约制度，成立专家库。支持艺术名家采取收徒、传帮带方式进行艺术传承。</w:t>
            </w:r>
          </w:p>
        </w:tc>
      </w:tr>
    </w:tbl>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359" w:name="_Toc85206544"/>
      <w:bookmarkStart w:id="360" w:name="_Toc85183109"/>
      <w:bookmarkStart w:id="361" w:name="_Toc32433"/>
      <w:bookmarkStart w:id="362" w:name="_Toc1891003223"/>
      <w:bookmarkStart w:id="363" w:name="_Toc392748713"/>
      <w:bookmarkStart w:id="364" w:name="_Toc938275018"/>
      <w:bookmarkStart w:id="365" w:name="_Toc783348757"/>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（二）加强文化遗产资源管理</w:t>
      </w:r>
      <w:bookmarkEnd w:id="359"/>
      <w:bookmarkEnd w:id="360"/>
      <w:bookmarkEnd w:id="36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62"/>
      <w:bookmarkEnd w:id="363"/>
      <w:bookmarkEnd w:id="364"/>
      <w:bookmarkEnd w:id="365"/>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开展钦州市文物资源普查，健全不可移动文物资源管理机制，完善可移动文物资源管理机制。开展全市非物质文化遗产资源普查，完善非物质文化遗产代表性项目名录制度，持续加强存续状况和保护单位工作情况评估，提升文化遗产资源数字化水平。</w:t>
      </w:r>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期，重点对全市历史文化资源进行有计划、有步骤、全面系统地解读和研究，扎实组织开展对英雄文化、红色文化、海丝文化、坭兴陶文化、古越州文化、古村落文化等文化脉络的挖掘阐释和系统研究，深入挖掘研究重大事件的文化价值和内涵。整理各类文化承载的重大事件、重点人物、重要故事，以对历史起源文化、民族文化、红色革命文化、近代教育文化、海洋文化进行划分整理</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和</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文化价值提炼，开展区域历史资源整体框架的构建，关注资源在历史演进及文化发展方面的横纵向脉络联系，为区域历史资源的整体保护奠定基础。</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366" w:name="_Toc26502"/>
      <w:bookmarkStart w:id="367" w:name="_Toc1489316052"/>
      <w:bookmarkStart w:id="368" w:name="_Toc1927647293"/>
      <w:bookmarkStart w:id="369" w:name="_Toc556313651"/>
      <w:bookmarkStart w:id="370" w:name="_Toc521741479"/>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（三）提升文物保护利用水平</w:t>
      </w:r>
      <w:bookmarkEnd w:id="366"/>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67"/>
      <w:bookmarkEnd w:id="368"/>
      <w:bookmarkEnd w:id="369"/>
      <w:bookmarkEnd w:id="370"/>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加强文物考古发掘和保护利用</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加强对海上丝绸之路遗址遗迹的保护、研究、利用，积极配合国家文物局开展</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海上丝绸之路</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申</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报</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世</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界文化</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遗</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产</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工作。积极争取自治区、国家文物考古发掘项目，重点做好海丝遗址遗迹和古遗址类考古项目申报工作。做好越州故城、西坑古运河考古成果挖掘整理工作。争取越州故城等有条件的考古遗址申报自治区级考古遗址公园。实施重点文物保护工程，增加文物保护利用工作投入，重点加强体现英雄文化、红色文化、乡贤文化、海丝文化、坭兴陶文化、长寿文化、非遗文化</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等</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物的保护利用。推动符合条件的文物保护单位级别升格。强化文物资料整理归档，加大文物价值挖掘、研究和宣传，提升影响力。活化利用文物资源，推进文物合理利用。强化文物安全监管工作。健全文物安全长效机制，加大文物安全保护工程投入，推动提高防护能力，加强文物执法和文物安全监管工作，严厉打击文物违法犯罪行为。加强对游客的文物保护安全教育。配合自治区实施文物平安工程，推动建立健全市、县区、镇</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（街道）</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行政</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村</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（社区）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四级文物保护管理机制，逐级落实文物安全责任。</w:t>
      </w:r>
    </w:p>
    <w:tbl>
      <w:tblPr>
        <w:tblStyle w:val="24"/>
        <w:tblpPr w:leftFromText="180" w:rightFromText="180" w:vertAnchor="text" w:horzAnchor="page" w:tblpX="1635" w:tblpY="445"/>
        <w:tblOverlap w:val="never"/>
        <w:tblW w:w="8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78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专栏4-3 文物保护与利用工程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781"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文物本体保护修缮与环境整治工程：</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沙尾街冯子材故居、广州会馆、苏廷有旧居、冯承垿旧居、缸瓦窑村坭兴陶古龙窑、西坑古运河、乌雷炮台遗址、灵山县大芦村古建筑群、龙武庄园、六峰山-三海岩石窟寺（含摩崖造像）等重点文物保护工程。</w:t>
            </w:r>
          </w:p>
          <w:p>
            <w:pPr>
              <w:spacing w:line="40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文物保护利用项目：</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浦北越州故城文物保护利用设施建设项目。</w:t>
            </w:r>
          </w:p>
          <w:p>
            <w:pPr>
              <w:spacing w:line="400" w:lineRule="exact"/>
              <w:ind w:firstLine="56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文物保护单位申报工作：</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重点扶持乌雷炮台，西坑古运河、小董镇联保小学堂等申报自治区级国家级文物保护单位。</w:t>
            </w:r>
          </w:p>
        </w:tc>
      </w:tr>
    </w:tbl>
    <w:p>
      <w:pPr>
        <w:ind w:firstLine="642" w:firstLineChars="200"/>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推动博物馆事业做优做强</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推动形成以国有博物馆为主体、非国有博物馆为重要补充，综合性、专题特色型、行业博物馆共同发展格局。按照国家二级博物馆的建设标准，推动建设钦州市博物馆场馆。积极推动建设平陆运河博物馆。重点提升已建成的灵山博物馆、浦北博物馆等展示水平。支持生态博物馆、高校博物馆、数字博物馆等新形态博物馆建设，充分动员社会力量发展博物馆事业。</w:t>
      </w:r>
    </w:p>
    <w:p>
      <w:pPr>
        <w:spacing w:line="540" w:lineRule="exact"/>
        <w:ind w:firstLine="640"/>
        <w:jc w:val="left"/>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建立健全馆藏文物管理制度，完善藏品档案、备案制度。加强馆藏文物展示利用，加强展陈内容策划设计，全面展示钦州的历史文化脉络。收集整理历代文物精品，丰富文物的展陈形式。发挥博物馆社会教育功能，讲好钦州历史文化故事。提高馆藏文物利用率。</w:t>
      </w:r>
    </w:p>
    <w:p>
      <w:pPr>
        <w:spacing w:line="540" w:lineRule="exact"/>
        <w:ind w:firstLine="640"/>
        <w:jc w:val="left"/>
        <w:rPr>
          <w:rFonts w:hint="default" w:ascii="Times New Roman" w:hAnsi="Times New Roman" w:eastAsia="方正仿宋_GBK" w:cs="Times New Roman"/>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推进线上博物馆建设。完善线上博物馆管理、研究、展示和宣教等功能，围绕英雄文化、红色文化、乡贤文化、海丝文化、坭兴陶文化、长寿文化、非遗文化</w:t>
      </w:r>
      <w:r>
        <w:rPr>
          <w:rFonts w:hint="default" w:ascii="Times New Roman" w:hAnsi="Times New Roman" w:eastAsia="方正仿宋_GBK"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举办主题鲜明、内容丰富、特色突出的展览、推介活动，进一步发挥博物馆、纪念馆在弘扬爱国主义、倡导科学精神、普及科学知识、传播传统文化、推动社会文明进步等方面的重要作用。</w:t>
      </w:r>
    </w:p>
    <w:p>
      <w:pPr>
        <w:numPr>
          <w:ilvl w:val="0"/>
          <w:numId w:val="9"/>
        </w:numPr>
        <w:ind w:left="0" w:leftChars="0" w:firstLine="642" w:firstLineChars="200"/>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加强文物古籍宣传保护</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640"/>
        <w:textAlignment w:val="auto"/>
        <w:rPr>
          <w:rFonts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开展古籍文献普查、保护工作，掌握钦州古籍的数量、价值、分布、保存状况等基本情况，加快建立古籍综合信息数据库。加强古籍的整理、出版和研究利用。通过讲座、展览、培训等方式宣传古籍保护知识，促进古籍利用，发挥古籍在保护传承英雄文化、</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红色文化、乡贤文化、</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海丝文化、古越州文化、坭兴陶文化</w:t>
      </w:r>
      <w:r>
        <w:rPr>
          <w:rFonts w:hint="default" w:ascii="Times New Roman" w:hAnsi="Times New Roman" w:eastAsia="方正仿宋_GBK" w:cs="Times New Roman"/>
          <w:bCs/>
          <w:color w:val="000000" w:themeColor="text1"/>
          <w:sz w:val="32"/>
          <w:szCs w:val="32"/>
          <w:highlight w:val="none"/>
          <w14:textFill>
            <w14:solidFill>
              <w14:schemeClr w14:val="tx1"/>
            </w14:solidFill>
          </w14:textFill>
        </w:rPr>
        <w:t>、非遗文化</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以及联结中华民族情感方面的重要作用。</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371" w:name="_Toc1512"/>
      <w:bookmarkStart w:id="372" w:name="_Toc327582059"/>
      <w:bookmarkStart w:id="373" w:name="_Toc2088327435"/>
      <w:bookmarkStart w:id="374" w:name="_Toc1942158546"/>
      <w:bookmarkStart w:id="375" w:name="_Toc1660075002"/>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（四）激发非遗保护传承活力</w:t>
      </w:r>
      <w:bookmarkEnd w:id="37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72"/>
      <w:bookmarkEnd w:id="373"/>
      <w:bookmarkEnd w:id="374"/>
      <w:bookmarkEnd w:id="375"/>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健全非遗资源保护体系</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制定我市《关于进一步加强非物质文化遗产保护工作的实施意见》《钦州市市级非物质文化遗产代表性传承人认定与管理办法》，夯实制度基础。完善非遗代表性项目名录</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加大挖掘整理力度，持续推进县</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市、自治区、国家四级非遗代表性名录体系建设，构建以县级非遗名录为基础、市级非遗名录为主体、国家级和自治区级名录为重点的梯次结构。加强非遗数据库建设</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应用信息技术手段，全面、真实、系统地采集记录非物质文化遗产代表性项目及代表性传承人的情况，妥善保存文字、图片、音频、视频等记录成果。实施非遗传承人群培训计划</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采取</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走出去</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请进来</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等方式，组织非遗项目持有者、从业者等传承人群到高校学习专业知识、研究技艺，提高非遗传承人的学习能力、文化素养、审美水平和创新意识。到2025年，力争对全市非遗保护工作人员轮训一遍。推进非遗传承基地建设</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鼓励具有较强设计研发能力的企业、机构在传统工艺项目所在县区设立传统工艺工作站。加强</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非遗传承体验基地</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建设，促进乡村振兴。</w:t>
      </w:r>
    </w:p>
    <w:p>
      <w:pPr>
        <w:pStyle w:val="2"/>
        <w:rPr>
          <w:rFonts w:hint="default" w:ascii="Times New Roman" w:hAnsi="Times New Roman" w:cs="Times New Roman"/>
          <w:color w:val="000000" w:themeColor="text1"/>
          <w:highlight w:val="none"/>
          <w14:textFill>
            <w14:solidFill>
              <w14:schemeClr w14:val="tx1"/>
            </w14:solidFill>
          </w14:textFill>
        </w:rPr>
      </w:pPr>
    </w:p>
    <w:tbl>
      <w:tblPr>
        <w:tblStyle w:val="24"/>
        <w:tblW w:w="8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8555" w:type="dxa"/>
            <w:tcBorders>
              <w:top w:val="single" w:color="auto" w:sz="4" w:space="0"/>
              <w:left w:val="single" w:color="auto" w:sz="4" w:space="0"/>
              <w:bottom w:val="single" w:color="auto" w:sz="4" w:space="0"/>
              <w:right w:val="single" w:color="auto" w:sz="4" w:space="0"/>
            </w:tcBorders>
            <w:noWrap/>
            <w:tcMar>
              <w:left w:w="108" w:type="dxa"/>
              <w:right w:w="108" w:type="dxa"/>
            </w:tcMar>
            <w:vAlign w:val="center"/>
          </w:tcPr>
          <w:p>
            <w:pPr>
              <w:spacing w:line="240" w:lineRule="auto"/>
              <w:ind w:firstLine="0" w:firstLineChars="0"/>
              <w:jc w:val="center"/>
              <w:rPr>
                <w:rFonts w:ascii="Times New Roman" w:hAnsi="Times New Roman" w:cs="Times New Roman"/>
                <w:b/>
                <w:bCs/>
                <w:color w:val="000000" w:themeColor="text1"/>
                <w:sz w:val="20"/>
                <w:szCs w:val="20"/>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8"/>
                <w:highlight w:val="none"/>
                <w14:textFill>
                  <w14:solidFill>
                    <w14:schemeClr w14:val="tx1"/>
                  </w14:solidFill>
                </w14:textFill>
              </w:rPr>
              <w:t>专栏4-4 非遗保护传承重点项目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55" w:type="dxa"/>
            <w:tcBorders>
              <w:top w:val="single" w:color="auto" w:sz="4" w:space="0"/>
              <w:left w:val="single" w:color="auto" w:sz="4" w:space="0"/>
              <w:bottom w:val="single" w:color="auto" w:sz="4" w:space="0"/>
              <w:right w:val="single" w:color="auto" w:sz="4" w:space="0"/>
            </w:tcBorders>
            <w:noWrap/>
            <w:tcMar>
              <w:left w:w="108" w:type="dxa"/>
              <w:right w:w="108" w:type="dxa"/>
            </w:tcMar>
            <w:vAlign w:val="center"/>
          </w:tcPr>
          <w:p>
            <w:pPr>
              <w:spacing w:line="400" w:lineRule="exact"/>
              <w:ind w:firstLine="560"/>
              <w:jc w:val="left"/>
              <w:rPr>
                <w:rFonts w:hint="default" w:ascii="Times New Roman" w:hAnsi="Times New Roman" w:eastAsia="方正仿宋_GBK" w:cs="Times New Roman"/>
                <w:color w:val="000000" w:themeColor="text1"/>
                <w:sz w:val="24"/>
                <w:szCs w:val="28"/>
                <w:highlight w:val="none"/>
                <w14:textFill>
                  <w14:solidFill>
                    <w14:schemeClr w14:val="tx1"/>
                  </w14:solidFill>
                </w14:textFill>
              </w:rPr>
            </w:pPr>
            <w:r>
              <w:rPr>
                <w:rFonts w:hint="default" w:ascii="Times New Roman" w:hAnsi="Times New Roman" w:eastAsia="方正仿宋_GBK" w:cs="Times New Roman"/>
                <w:color w:val="000000" w:themeColor="text1"/>
                <w:sz w:val="24"/>
                <w:szCs w:val="28"/>
                <w:highlight w:val="none"/>
                <w14:textFill>
                  <w14:solidFill>
                    <w14:schemeClr w14:val="tx1"/>
                  </w14:solidFill>
                </w14:textFill>
              </w:rPr>
              <w:t>积极推动钦州坭兴陶烧制技艺申报</w:t>
            </w:r>
            <w:r>
              <w:rPr>
                <w:rFonts w:hint="eastAsia" w:ascii="Times New Roman" w:hAnsi="Times New Roman" w:eastAsia="方正仿宋_GBK"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8"/>
                <w:highlight w:val="none"/>
                <w14:textFill>
                  <w14:solidFill>
                    <w14:schemeClr w14:val="tx1"/>
                  </w14:solidFill>
                </w14:textFill>
              </w:rPr>
              <w:t>人类非物质文化遗产代表作名录</w:t>
            </w:r>
            <w:r>
              <w:rPr>
                <w:rFonts w:hint="eastAsia" w:ascii="Times New Roman" w:hAnsi="Times New Roman" w:eastAsia="方正仿宋_GBK"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8"/>
                <w:highlight w:val="none"/>
                <w14:textFill>
                  <w14:solidFill>
                    <w14:schemeClr w14:val="tx1"/>
                  </w14:solidFill>
                </w14:textFill>
              </w:rPr>
              <w:t>。</w:t>
            </w:r>
          </w:p>
          <w:p>
            <w:pPr>
              <w:spacing w:line="400" w:lineRule="exact"/>
              <w:ind w:firstLine="480" w:firstLineChars="200"/>
              <w:jc w:val="left"/>
              <w:rPr>
                <w:rFonts w:hint="default" w:ascii="Times New Roman" w:hAnsi="Times New Roman" w:eastAsia="方正仿宋_GBK" w:cs="Times New Roman"/>
                <w:color w:val="000000" w:themeColor="text1"/>
                <w:sz w:val="24"/>
                <w:szCs w:val="28"/>
                <w:highlight w:val="none"/>
                <w14:textFill>
                  <w14:solidFill>
                    <w14:schemeClr w14:val="tx1"/>
                  </w14:solidFill>
                </w14:textFill>
              </w:rPr>
            </w:pPr>
            <w:r>
              <w:rPr>
                <w:rFonts w:hint="default" w:ascii="Times New Roman" w:hAnsi="Times New Roman" w:eastAsia="方正仿宋_GBK" w:cs="Times New Roman"/>
                <w:color w:val="000000" w:themeColor="text1"/>
                <w:sz w:val="24"/>
                <w:szCs w:val="28"/>
                <w:highlight w:val="none"/>
                <w14:textFill>
                  <w14:solidFill>
                    <w14:schemeClr w14:val="tx1"/>
                  </w14:solidFill>
                </w14:textFill>
              </w:rPr>
              <w:t>推动烟墩大鼓习俗、小江瓷器手工制作技艺、灵山竹编</w:t>
            </w:r>
            <w:r>
              <w:rPr>
                <w:rFonts w:hint="default" w:ascii="Times New Roman" w:hAnsi="Times New Roman" w:eastAsia="方正仿宋_GBK"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8"/>
                <w:highlight w:val="none"/>
                <w14:textFill>
                  <w14:solidFill>
                    <w14:schemeClr w14:val="tx1"/>
                  </w14:solidFill>
                </w14:textFill>
              </w:rPr>
              <w:t>龙门藤编技艺</w:t>
            </w:r>
            <w:r>
              <w:rPr>
                <w:rFonts w:hint="default" w:ascii="Times New Roman" w:hAnsi="Times New Roman" w:eastAsia="方正仿宋_GBK"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8"/>
                <w:highlight w:val="none"/>
                <w14:textFill>
                  <w14:solidFill>
                    <w14:schemeClr w14:val="tx1"/>
                  </w14:solidFill>
                </w14:textFill>
              </w:rPr>
              <w:t>黄氏草药疗骨法等技艺项目申报国家级非物质文化遗产代表性项目名录。</w:t>
            </w:r>
          </w:p>
          <w:p>
            <w:pPr>
              <w:spacing w:line="400" w:lineRule="exact"/>
              <w:ind w:firstLine="560"/>
              <w:jc w:val="left"/>
              <w:rPr>
                <w:rFonts w:hint="default" w:ascii="Times New Roman" w:hAnsi="Times New Roman" w:eastAsia="方正仿宋_GBK" w:cs="Times New Roman"/>
                <w:color w:val="000000" w:themeColor="text1"/>
                <w:sz w:val="24"/>
                <w:szCs w:val="28"/>
                <w:highlight w:val="none"/>
                <w14:textFill>
                  <w14:solidFill>
                    <w14:schemeClr w14:val="tx1"/>
                  </w14:solidFill>
                </w14:textFill>
              </w:rPr>
            </w:pPr>
            <w:r>
              <w:rPr>
                <w:rFonts w:hint="default" w:ascii="Times New Roman" w:hAnsi="Times New Roman" w:eastAsia="方正仿宋_GBK" w:cs="Times New Roman"/>
                <w:color w:val="000000" w:themeColor="text1"/>
                <w:sz w:val="24"/>
                <w:szCs w:val="28"/>
                <w:highlight w:val="none"/>
                <w14:textFill>
                  <w14:solidFill>
                    <w14:schemeClr w14:val="tx1"/>
                  </w14:solidFill>
                </w14:textFill>
              </w:rPr>
              <w:t>持续开展</w:t>
            </w:r>
            <w:r>
              <w:rPr>
                <w:rFonts w:hint="eastAsia" w:ascii="Times New Roman" w:hAnsi="Times New Roman" w:eastAsia="方正仿宋_GBK"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8"/>
                <w:highlight w:val="none"/>
                <w14:textFill>
                  <w14:solidFill>
                    <w14:schemeClr w14:val="tx1"/>
                  </w14:solidFill>
                </w14:textFill>
              </w:rPr>
              <w:t>非遗进校园</w:t>
            </w:r>
            <w:r>
              <w:rPr>
                <w:rFonts w:hint="eastAsia" w:ascii="Times New Roman" w:hAnsi="Times New Roman" w:eastAsia="方正仿宋_GBK"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8"/>
                <w:highlight w:val="none"/>
                <w14:textFill>
                  <w14:solidFill>
                    <w14:schemeClr w14:val="tx1"/>
                  </w14:solidFill>
                </w14:textFill>
              </w:rPr>
              <w:t>，不定期在中小学开设非物质文化遗产特色课程，鼓励建设非物质文化遗产代表性项目特色中小学传承体验基地。</w:t>
            </w:r>
          </w:p>
          <w:p>
            <w:pPr>
              <w:spacing w:line="400" w:lineRule="exact"/>
              <w:ind w:firstLine="560"/>
              <w:jc w:val="left"/>
              <w:rPr>
                <w:rFonts w:ascii="Times New Roman" w:hAnsi="Times New Roman" w:eastAsia="仿宋_GB2312" w:cs="Times New Roman"/>
                <w:color w:val="000000" w:themeColor="text1"/>
                <w:sz w:val="24"/>
                <w:szCs w:val="28"/>
                <w:highlight w:val="none"/>
                <w14:textFill>
                  <w14:solidFill>
                    <w14:schemeClr w14:val="tx1"/>
                  </w14:solidFill>
                </w14:textFill>
              </w:rPr>
            </w:pPr>
            <w:r>
              <w:rPr>
                <w:rFonts w:hint="default" w:ascii="Times New Roman" w:hAnsi="Times New Roman" w:eastAsia="方正仿宋_GBK" w:cs="Times New Roman"/>
                <w:color w:val="000000" w:themeColor="text1"/>
                <w:sz w:val="24"/>
                <w:szCs w:val="28"/>
                <w:highlight w:val="none"/>
                <w14:textFill>
                  <w14:solidFill>
                    <w14:schemeClr w14:val="tx1"/>
                  </w14:solidFill>
                </w14:textFill>
              </w:rPr>
              <w:t>深入挖掘乡村旅游消费潜力，支持利用非物质文化遗产资源发展乡村旅游等业态，以文塑旅、以旅彰文，推出一批具有鲜明非物质文化遗产特色的主题旅游线路和演艺作品。</w:t>
            </w:r>
          </w:p>
        </w:tc>
      </w:tr>
    </w:tbl>
    <w:p>
      <w:pPr>
        <w:ind w:firstLine="642" w:firstLineChars="200"/>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加大非物质文化遗产传播普及力度</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加强非遗文化展示。结合博物馆、文化馆配套情况，鼓励有条件的县区建设非遗展演馆，充分利用3D影像科技、多媒体互动展示、数字讲解阐释、VR虚拟展示等丰富非遗展示手段与展示方式。探索设立</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非遗舞台</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开展特色驻场演出</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活跃非遗传承发展实践。</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开展</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非遗进景区、进社区、进校园、进乡村活动，在春节、元宵</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、清明</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、端午</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、七夕</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、中秋</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、重阳</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等传统节日和重大节日开展非遗展演活动，提高表演艺术类非遗项目的实践频次和展演水平。大力开展非遗传播，建设非遗展示馆，组织开展丰富多彩的非遗宣传和展示体验活动，举办文化和自然遗产日主题活动暨千年坭兴陶古龙窑火祭仪式、钦州非遗研讨会、非遗购物节、非遗美食节、钦江古龙窑新年嘉年华、烟墩大鼓展演、跳岭头文化节、非遗传承成果汇报演出等活动。加强非遗对外文化交流活动，展示钦州传统文化魅力</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着力打造在北部湾地区具有较大影响的非遗传播品牌。</w:t>
      </w:r>
    </w:p>
    <w:p>
      <w:pPr>
        <w:ind w:firstLine="643"/>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3.</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加强文化资源活化利用</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21"/>
          <w:szCs w:val="24"/>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在有效保护前提下，推动非物质文化遗产与旅游融合发展、高质量发展。深入挖掘乡村旅游消费潜力，支持利用非物质文化遗产资源发展乡村旅游等业态，推出一批具有鲜明非物质文化遗产特色的主题旅游线路和演艺作品，推进钦南区坭兴陶小镇建设非遗小镇。鼓励合理利用非物质文化遗产资源进行文艺创作和文创设计，提高非物质文化遗产资源开发利用程度。利用互联网平台，拓宽相关产品推广和销售渠道。鼓励非物质文化遗产相关企业拓展国际市场。</w:t>
      </w:r>
      <w:bookmarkEnd w:id="356"/>
      <w:bookmarkEnd w:id="357"/>
      <w:bookmarkEnd w:id="358"/>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eastAsia" w:ascii="方正黑体_GBK" w:hAnsi="方正黑体_GBK" w:eastAsia="方正黑体_GBK" w:cs="方正黑体_GBK"/>
          <w:b w:val="0"/>
          <w:bCs w:val="0"/>
          <w:color w:val="000000" w:themeColor="text1"/>
          <w:highlight w:val="none"/>
          <w14:textFill>
            <w14:solidFill>
              <w14:schemeClr w14:val="tx1"/>
            </w14:solidFill>
          </w14:textFill>
        </w:rPr>
      </w:pPr>
      <w:bookmarkStart w:id="376" w:name="_Toc84945354"/>
      <w:bookmarkStart w:id="377" w:name="_Toc901037986"/>
      <w:bookmarkStart w:id="378" w:name="_Toc1396995039"/>
      <w:bookmarkStart w:id="379" w:name="_Toc714867381"/>
      <w:bookmarkStart w:id="380" w:name="_Toc226297285"/>
      <w:bookmarkStart w:id="381" w:name="_Toc26960"/>
      <w:r>
        <w:rPr>
          <w:rFonts w:hint="default" w:ascii="Times New Roman" w:hAnsi="Times New Roman" w:eastAsia="黑体" w:cs="Times New Roman"/>
          <w:b w:val="0"/>
          <w:bCs w:val="0"/>
          <w:color w:val="000000" w:themeColor="text1"/>
          <w:highlight w:val="none"/>
          <w14:textFill>
            <w14:solidFill>
              <w14:schemeClr w14:val="tx1"/>
            </w14:solidFill>
          </w14:textFill>
        </w:rPr>
        <w:t>三</w:t>
      </w:r>
      <w:r>
        <w:rPr>
          <w:rFonts w:hint="eastAsia" w:ascii="方正黑体_GBK" w:hAnsi="方正黑体_GBK" w:eastAsia="方正黑体_GBK" w:cs="方正黑体_GBK"/>
          <w:b w:val="0"/>
          <w:bCs w:val="0"/>
          <w:color w:val="000000" w:themeColor="text1"/>
          <w:highlight w:val="none"/>
          <w14:textFill>
            <w14:solidFill>
              <w14:schemeClr w14:val="tx1"/>
            </w14:solidFill>
          </w14:textFill>
        </w:rPr>
        <w:t>、</w:t>
      </w:r>
      <w:bookmarkEnd w:id="376"/>
      <w:r>
        <w:rPr>
          <w:rFonts w:hint="eastAsia" w:ascii="方正黑体_GBK" w:hAnsi="方正黑体_GBK" w:eastAsia="方正黑体_GBK" w:cs="方正黑体_GBK"/>
          <w:b w:val="0"/>
          <w:bCs w:val="0"/>
          <w:color w:val="000000" w:themeColor="text1"/>
          <w:highlight w:val="none"/>
          <w14:textFill>
            <w14:solidFill>
              <w14:schemeClr w14:val="tx1"/>
            </w14:solidFill>
          </w14:textFill>
        </w:rPr>
        <w:t>塑造特色休闲文旅形象</w:t>
      </w:r>
      <w:bookmarkEnd w:id="377"/>
      <w:bookmarkEnd w:id="378"/>
      <w:bookmarkEnd w:id="379"/>
      <w:bookmarkEnd w:id="380"/>
      <w:bookmarkEnd w:id="381"/>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382" w:name="_Toc85206546"/>
      <w:bookmarkStart w:id="383" w:name="_Toc27977"/>
      <w:bookmarkStart w:id="384" w:name="_Toc85183111"/>
      <w:bookmarkStart w:id="385" w:name="_Toc26590"/>
      <w:bookmarkStart w:id="386" w:name="_Toc84945355"/>
      <w:bookmarkStart w:id="387" w:name="_Toc720401634"/>
      <w:bookmarkStart w:id="388" w:name="_Toc1592966814"/>
      <w:bookmarkStart w:id="389" w:name="_Toc1796258439"/>
      <w:bookmarkStart w:id="390" w:name="_Toc1006495631"/>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（一）打造五大文旅品牌</w:t>
      </w:r>
      <w:bookmarkEnd w:id="382"/>
      <w:bookmarkEnd w:id="383"/>
      <w:bookmarkEnd w:id="384"/>
      <w:bookmarkEnd w:id="385"/>
      <w:bookmarkEnd w:id="386"/>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87"/>
      <w:bookmarkEnd w:id="388"/>
      <w:bookmarkEnd w:id="389"/>
      <w:bookmarkEnd w:id="390"/>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打造</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英雄钦州</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品牌</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整合全市红色文物和文化资源，深入挖掘红色文化内涵，突出以刘永福、冯子材、冯敏昌、黄明堂、张世聪、卢文等为代表的英雄文化，充分运用现代高科技手段，创新红色旅游表现形式，开发红色培训、红色研学、爱国主义教育等主题产品，增强知识性、吸引力和感染力。鼓励周边群众围绕红色景区景点开发农家乐、特色餐饮购物、乡土民俗体验等项目，形成红色文化旅游+生态观光、文化体验、户外运动、研学实践、康体养生等复合型旅游产品。加大旅游商品研发力度，鼓励市内能人设计制作以红色文化</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、英雄文化</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为主题的坭兴陶、小江瓷产品</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手工编织等极具地方特色的手工艺品。创新推进红色旅游与休闲体育融合发展工程，开展钦州老街城市定向挑战赛、钦州红色青春记忆历史情景接力赛等英雄红色赛事，用英雄气贯通红色资源开发、红色文化活动，打造全国知名的英雄城市品牌。</w:t>
      </w:r>
    </w:p>
    <w:p>
      <w:pPr>
        <w:ind w:firstLine="643"/>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打造</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休闲钦州</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品牌</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依托海洋资源特色，整治海岸景观环境，提升海岸观光旅游，发展滨海度假旅游。充分挖掘钦州白海豚资源，开发海洋生物科普、海底世界观光等旅游产品。大力开发潜水、海钓、海洋体育渔家乐等参与性强的海洋休闲旅游项目，重点培育邮轮度假、七十二泾群岛度假、治愈系小镇度假等旅游新业态。积极探索新型海洋休闲产品，如海洋实景演出、海洋拓展训练、海岛野营等。通过投放人工鱼礁和增殖放流，发展以游艇、垂钓、潜水和观光为目的的海洋牧场。继续开发茅尾海黄金海岸、国际商品直销中心、蚝情广场</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、辣椒槌滨海公园等</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，打造海洋运动类、特色购物类、生蚝文化类</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、滨海体育类等</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精品旅游产品，实现钦州滨海休闲旅游的提档升级。以</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旅游+农业</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深度融合为重要抓手，通过业态植入、景观提升、服务设施升级等手段，提升旅游产品品质，通过打造农业科普、农业休闲、农业体验等产品，延伸农业旅游产业链条，打造综合型的多元休闲体验旅游带。通过开发不同休闲类型旅游度假产品，打造</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休闲钦州</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品牌，使其成为钦州市旅游核心吸引物。</w:t>
      </w:r>
    </w:p>
    <w:p>
      <w:pPr>
        <w:ind w:firstLine="643"/>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3.</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打造</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康养钦州</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品牌</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围绕共同打造</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长寿广西</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品牌，整合钦州健康长寿资源，放大浦北县</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世界长寿之乡</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的品牌价值，深入挖掘五皇山、那雾山、烟霞山、八寨沟等原生自然资源和养生文化资源，以山地观光为核心，通过餐饮、住宿、户外运动等业态的注入，同时引入中医药养生文化，形成食养、居养、动养、学养等多元养生休闲体系，开发康体养生、中医药养生等健康旅游产品，构建核心养生养老品牌。挖掘泥浴、钦州燕窝、钦州富硒紫米、灵山名茶、浦北石祖禅茶、浦北神蜉酒、浦北红椎菌</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、钦北金花茶</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等资源的养生保健功效，打造具有地方特色的滋补养生系列产品，多方面开发养生功能产品，形成多种类、复合型康养产品体系，建成服务北部湾、粤港澳大湾区的</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康养钦州</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品牌。</w:t>
      </w:r>
    </w:p>
    <w:p>
      <w:pPr>
        <w:numPr>
          <w:ilvl w:val="0"/>
          <w:numId w:val="9"/>
        </w:numPr>
        <w:ind w:left="0" w:leftChars="0" w:firstLine="642" w:firstLineChars="200"/>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打造</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食在钦州</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品牌</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依托咸淡水交汇特色海鲜、中国荔枝之乡、中国香蕉之乡、中国大蚝之乡、中国奶水牛之乡、岭南粤菜菜系等资源，培育钦州四大名产（大蚝、对虾、石斑鱼、青蟹）、灵山农家美食、浦北康养美食、钦南传统特色美食、钦北山地美食等餐饮品牌。加大饮食文化开发力度，在菜式设计、</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菜式命名、</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就餐环境等元素中融入地方文化特色，形成</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旅游+美食</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打卡点。建设区域知名的美食夜市街，打造一系列美食地标，编绘</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特色旅游</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美食地图</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、蚝好吃地图等</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，推出旅游美食线路，不断提升餐饮服务品质，营造餐饮休闲氛围，塑造</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食在钦州</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亚热带美食天堂品牌。</w:t>
      </w:r>
    </w:p>
    <w:p>
      <w:pPr>
        <w:numPr>
          <w:ilvl w:val="0"/>
          <w:numId w:val="9"/>
        </w:numPr>
        <w:ind w:left="0" w:leftChars="0" w:firstLine="642" w:firstLineChars="200"/>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打造</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钦州有礼</w:t>
      </w:r>
      <w:r>
        <w:rPr>
          <w:rFonts w:hint="eastAsia"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品牌</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依托钦州</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江、海、湖、山、岛</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物产丰富的资源基础，以及</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港、区、产、城、人</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独具潜力的经济社会基础，大力推动钦州特色旅游商品发展，强化钦州特色的旅游商品和文化创意商品设计。重点打造坭兴陶、大蚝、燕窝、富硒紫米、火龙果、灵山桂味荔枝、浦北小江瓷、浦北红椎菌、浦北神蜉酒、钦南海鸭蛋、钦南康硒贡薯、钦北小董麻通、钦北八寨山水豆腐花、灵山茗茶、浦北禅茶等特色旅游礼品，依托自贸区钦州港片区国际商品直销中心、中马钦州产业园等，积极对接</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互联网营销师</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培训，拓展线上线下商品销售渠道，</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利用广电网络公司</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一村一屏</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平台，</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提升</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钦州有礼</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国内市场知名度和影响力。</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391" w:name="_Toc18682"/>
      <w:bookmarkStart w:id="392" w:name="_Toc85183112"/>
      <w:bookmarkStart w:id="393" w:name="_Toc85051002"/>
      <w:bookmarkStart w:id="394" w:name="_Toc85206547"/>
      <w:bookmarkStart w:id="395" w:name="_Toc1174"/>
      <w:bookmarkStart w:id="396" w:name="_Toc84945357"/>
      <w:bookmarkStart w:id="397" w:name="_Toc2099072813"/>
      <w:bookmarkStart w:id="398" w:name="_Toc1796946018"/>
      <w:bookmarkStart w:id="399" w:name="_Toc642839002"/>
      <w:bookmarkStart w:id="400" w:name="_Toc995023603"/>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（二）推出</w:t>
      </w:r>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r>
        <w:rPr>
          <w:rFonts w:hint="default" w:ascii="Times New Roman" w:hAnsi="Times New Roman" w:eastAsia="方正楷体_GBK" w:cs="Times New Roman"/>
          <w:b w:val="0"/>
          <w:bCs w:val="0"/>
          <w:color w:val="000000" w:themeColor="text1"/>
          <w:sz w:val="32"/>
          <w:highlight w:val="none"/>
          <w14:textFill>
            <w14:solidFill>
              <w14:schemeClr w14:val="tx1"/>
            </w14:solidFill>
          </w14:textFill>
        </w:rPr>
        <w:t>9+4</w:t>
      </w:r>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精品旅游线路</w:t>
      </w:r>
      <w:bookmarkEnd w:id="391"/>
      <w:bookmarkEnd w:id="392"/>
      <w:bookmarkEnd w:id="393"/>
      <w:bookmarkEnd w:id="394"/>
      <w:bookmarkEnd w:id="395"/>
      <w:bookmarkEnd w:id="396"/>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397"/>
      <w:bookmarkEnd w:id="398"/>
      <w:bookmarkEnd w:id="399"/>
      <w:bookmarkEnd w:id="400"/>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打造九大特色主题线路</w:t>
      </w:r>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钦州滨海度假游。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感受神奇海湾</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为主题，依托海水、沙滩、礁石、防护林、渔村、海豚、岛屿等特色滨海旅游资源，开发出海观海豚、</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畅游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滨海浴场、坐礁观日、出海捕鱼、赶海挖螺、沙滩露营等滨海度假产品组合，打造独具魅力的滨海度假产品。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主要线路为三娘湾景区—犀丽湾景区—永福湾—七十二泾—</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沙井岛</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白海豚观光游。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与海上国宝亲密接触</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为主题，依托三娘湾景区，以世界稀缺的白海豚海洋生态特种旅游体验为核心，实施</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只有难得一见，才能难忘一生</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的控制性、稀缺化白海豚原生态特种旅游和高端观光旅游发展策略，提高白海豚主题海上生态旅游的科学技术和文化情感含量，释放世界级海洋生态的文化和旅游价值。</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主要线路为海豚科普馆—三娘石—母猪石——古码头（《海霞》《沧海丝路》拍摄地）—海上寻觅中华白海豚。</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钦州老街游。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感受北部湾情怀</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主题，依托中山路骑楼街历史文化街区、占鳌巷历史文化街区、广州会馆等资源，打造游客亲近感受19世纪市井百态及海丝商贸生活场景的老街游线路，展现北部湾文化底蕴集中体现地、休闲娱乐汇聚地、城市美好生活品位深度体验地，为游客呈现照片的老街、视频的老街、乡愁的老街、文学的老街。</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主要线路为刘永福广场—攀桂坊</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牌坊</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—刘永福旧居—状元墙小广场—苏廷有旧居—新盛巷—谢家大院—建福堂—1米巷—黄明堂雕塑—</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骑楼街</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—苏三娘雕塑—平南古渡—一马路宋城墙遗址公园—沙尾街冯子材故居—广州会馆—岳霖公园—城内街古井。</w:t>
      </w:r>
    </w:p>
    <w:p>
      <w:pPr>
        <w:spacing w:line="540" w:lineRule="exact"/>
        <w:ind w:firstLine="643"/>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坭兴陶体验游。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面朝大海，陶冶情操</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为主题，挖掘钦州坭兴陶是中华名陶中唯一滨海名陶</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价值</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，围绕古龙窑、老陶厂，开展坭兴陶探秘、坭兴陶参观体验等活动，依托千年古陶城、坭兴陶传统技艺传习馆、坭兴陶艺工场、坭兴陶名师工作室等资源，开展坭兴陶体验、研学等活动。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主要线路为坭兴陶艺馆—古龙窑—坭兴陶老厂—坭兴村—坭兴陶博物馆—千年古陶城景区—大风江古灶陶花岛。</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钦州大蚝品尝游。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尽享蚝情美味</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为主题，依托茅尾海万亩大蚝养殖基地，挖掘</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全国70%的蚝苗产地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的价值，开发参观十里蚝排、品尝新鲜生蚝等大蚝品尝体验活动，传导串联钦州四大名产（大蚝、对虾、石斑鱼、青蟹）系列产品体验，积极塑造钦州美食品牌。</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主要线路为钦州老街—沙井港—七十二泾—孔雀湾公园—仙岛公园。沿途可在金港壹号海鲜饭店、天鹰蒸汽海鲜城、自贸区德国餐厅等品尝大蚝。</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灵山荔枝采摘游。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品尝千年荔枝</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为主题，依托灵山香荔母树、千年荔枝园、万亩荔枝园等资源，开发感受灵山荔枝文化，品尝及采摘当季新鲜荔枝，感受灵山荔枝文化旅游节，开发荔枝主题餐饮、荔枝主题住宿，感受</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中国荔枝之乡</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的神奇魅力。</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主要线路为桂味荔枝生态园—百年荔枝特色农业核心示范区—龙武庄园—六峰山风景名胜区—大芦古村。</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浦北长寿养生游。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探秘长寿要诀</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主题，依托浦北五皇山自然风景区、石祖禅茶园、六万山林场、越州天湖等山地滨湖康养资源，开发山地康养、运动康养、中医药养生、生态康养、保健药酒等长寿养生产品，建设服务北部湾、粤港澳大湾区人群的长寿养生产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主要线路为越州天湖—双良芭乐园—五皇山—石祖禅茶园—坪田农庄—浦北神蜉酒厂。</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钦北山水风光体验游</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体验负氧离子SPA</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为主题，依托八寨沟、王岗山、林湖森林公园、望海岭等自然林海山水资源，开发汽车营地、森林旅居、森林探险、森林漂流、丛林寻宝、低空飞行等产品，体验钦北的奇山秀水，与大自然谈一场</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氧吧之恋</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，体验登高望远、云飘雾涌，遨游在自然山水间。主要线路为八寨沟—贵台龙窑—王岗山—林湖森林公园—望海岭。</w:t>
      </w:r>
    </w:p>
    <w:p>
      <w:pPr>
        <w:spacing w:line="540" w:lineRule="exact"/>
        <w:ind w:firstLine="643"/>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钦州红色主题之旅。</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寻访英雄足迹，传承红色基因</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为主题，依托钦州党组织的奋斗历程、钦州人民武装斗争的革命史、钦州历史文化名人和钦州英雄文化故事等红色资源，推出</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访钦州老街红色文化之旅</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访钦城红色青春记忆之旅</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访钦州改革开放之旅</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访三那解放战争旧址之旅</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访十万山革命斗争之旅</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访灵山革命斗争历史之旅</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访小董革命斗争之旅</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访浦北革命斗争历史之旅</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8条红色旅游线路，踏足钦州红色土地，重温红色记忆。</w:t>
      </w:r>
    </w:p>
    <w:p>
      <w:pPr>
        <w:ind w:firstLine="643"/>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pPr>
      <w:bookmarkStart w:id="401" w:name="_Toc75944460"/>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b/>
          <w:bCs/>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联动开发四大区域旅游精品线路</w:t>
      </w:r>
      <w:bookmarkEnd w:id="401"/>
      <w:r>
        <w:rPr>
          <w:rFonts w:hint="default" w:ascii="Times New Roman" w:hAnsi="Times New Roman" w:eastAsia="方正仿宋_GBK" w:cs="Times New Roman"/>
          <w:b/>
          <w:bCs/>
          <w:color w:val="000000" w:themeColor="text1"/>
          <w:sz w:val="32"/>
          <w:szCs w:val="32"/>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发挥西部陆海新通道的联动价值，进一步放大北部湾滨海休闲中心的影响力，加强区域文化旅游资源整合，联动周边省份、区域，开发国内、国际旅游线路。</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海上丝绸之路邮轮航线。</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依托海上丝绸之路，打造海上丝绸之路邮轮航线。航线的发展将加强北部湾港的中国东盟区域航运中心地位，促进沿线国家间的人文交流和经贸旅游往来。主要线路为中国（防城港</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钦州</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北海）</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越南（岘港）</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马来西亚（马六甲）。</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北部湾休闲度假体验游。</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整合美丽的火山岛、独特的疍家文化、可爱的白海豚、交相辉映的金滩银滩资源，打造一条让年轻人和高压力人群能够充分释放自我的休闲体验游。主要线路为北海</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钦州</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防城港</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东兴</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越南下龙。</w:t>
      </w:r>
    </w:p>
    <w:p>
      <w:pPr>
        <w:spacing w:line="540" w:lineRule="exact"/>
        <w:ind w:firstLine="643"/>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北部湾长寿养生休闲游。</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囊括海滨风光、广西黑衣壮民族风情、南国田园风光、喀斯特绝美山水、浓郁的红色文化、神秘的长寿文化等旅游亮点，让游客体验从桂北到桂南的山水变化与民族风情。主要线路为巴马</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百色</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南宁</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防城港</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钦州</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北海。</w:t>
      </w:r>
    </w:p>
    <w:p>
      <w:pPr>
        <w:spacing w:line="540" w:lineRule="exact"/>
        <w:ind w:firstLine="643"/>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边海休闲联动旅游线路。</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依托北部湾经济区开放开发、海南国际旅游海岛建设，打造世界级滨海旅游线路。</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主要线路为</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防城港</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钦州</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北海</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儋州</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海口</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三亚。</w:t>
      </w:r>
      <w:bookmarkStart w:id="402" w:name="_Toc26539"/>
    </w:p>
    <w:p>
      <w:pPr>
        <w:pStyle w:val="5"/>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default" w:ascii="Times New Roman" w:hAnsi="Times New Roman" w:eastAsia="楷体" w:cs="Times New Roman"/>
          <w:b w:val="0"/>
          <w:bCs w:val="0"/>
          <w:color w:val="000000" w:themeColor="text1"/>
          <w:sz w:val="32"/>
          <w:highlight w:val="none"/>
          <w:lang w:eastAsia="zh-CN"/>
          <w14:textFill>
            <w14:solidFill>
              <w14:schemeClr w14:val="tx1"/>
            </w14:solidFill>
          </w14:textFill>
        </w:rPr>
      </w:pPr>
      <w:bookmarkStart w:id="403" w:name="_Toc84945358"/>
      <w:bookmarkStart w:id="404" w:name="_Toc3517"/>
      <w:bookmarkStart w:id="405" w:name="_Toc85206548"/>
      <w:bookmarkStart w:id="406" w:name="_Toc85183113"/>
      <w:bookmarkStart w:id="407" w:name="_Toc85051003"/>
      <w:bookmarkStart w:id="408" w:name="_Toc27962"/>
      <w:bookmarkStart w:id="409" w:name="_Toc671916091"/>
      <w:bookmarkStart w:id="410" w:name="_Toc482004686"/>
      <w:bookmarkStart w:id="411" w:name="_Toc1859526845"/>
      <w:bookmarkStart w:id="412" w:name="_Toc1558960794"/>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（三）加强品牌营销推广</w:t>
      </w:r>
      <w:bookmarkEnd w:id="402"/>
      <w:bookmarkEnd w:id="403"/>
      <w:bookmarkEnd w:id="404"/>
      <w:bookmarkEnd w:id="405"/>
      <w:bookmarkEnd w:id="406"/>
      <w:bookmarkEnd w:id="407"/>
      <w:bookmarkEnd w:id="408"/>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09"/>
      <w:bookmarkEnd w:id="410"/>
      <w:bookmarkEnd w:id="411"/>
      <w:bookmarkEnd w:id="412"/>
    </w:p>
    <w:p>
      <w:pPr>
        <w:keepNext/>
        <w:keepLines w:val="0"/>
        <w:pageBreakBefore w:val="0"/>
        <w:widowControl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加大旅游市场开拓力度</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强化重点市场精准营销。</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抓好广西区内的市场推广，通过参加中国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东盟博览会文化展及旅游展、联合国世界旅游组织/亚太旅游协会旅游趋势与展望国际论坛（桂林论坛）、中国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东盟传统医药健康旅游国际论坛（巴马论坛）等国际会议（展），以会为媒，加强对外宣传推介。</w:t>
      </w:r>
    </w:p>
    <w:p>
      <w:pPr>
        <w:spacing w:line="540" w:lineRule="exact"/>
        <w:ind w:firstLine="643"/>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拓展中远程客源市场。</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重点围绕长三角、珠三角以及西部陆海新通道沿线市场，策划高铁旅游线路。鼓励旅游企业与成都、宜宾、西安、广州、深圳等各地</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旅游企业</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深度合作，互设分支机构、互推旅游线路，把更多游客吸引到钦州。</w:t>
      </w:r>
    </w:p>
    <w:p>
      <w:pPr>
        <w:spacing w:line="540" w:lineRule="exact"/>
        <w:ind w:firstLine="643"/>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拓展入境旅游重点市场。</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瞄准我国港澳台地区、东南亚、日韩俄及丝绸之路其他国家等旅游市场，积极加入</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一带一路城市旅游联盟</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通过举办北部湾国际摄影展（钦州老街）、钦州国际半程马拉松赛、钦州蚝情节、钦州千年坭兴陶古龙窑火祭仪式等节事活动加强海外旅游营销推广。在主要客源地城市开设一批旅游体验店，在知名旅游网站建设旗舰店；加大与境外搜索引擎、网络旅行商、视频分享网站的合作交流力度；加</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大</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海外电视台、报刊杂志、户外广告等硬广告投放比例；拓展与客源国旅行社、海外中间运营商的合作渠道，举办</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一批出彩的</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走出去</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旅游推介会。</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加快搭建旅游营销渠道</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建立全方位营销联动机制。</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围绕</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钦州在哪里、钦州好在哪、钦州走向哪</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，建立多部门、多层面的全方位营销机制。整合钦州宣传、文化、广电和出版等各方资源，建立政府支持、部门协同、企业联手、媒体跟进、游客参与的</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五位一体</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整合营销机制。建立健全市</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县</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区</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级营销体系，联合开展各类文化旅游宣传促销活动。努力打造一支高水平、专业化的文化旅游营销队伍。以钦州文旅云大数据平台为依托，建立市、县区智慧营销平台。</w:t>
      </w:r>
    </w:p>
    <w:p>
      <w:pPr>
        <w:spacing w:line="540" w:lineRule="exact"/>
        <w:ind w:firstLine="643"/>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强化</w:t>
      </w:r>
      <w:r>
        <w:rPr>
          <w:rFonts w:hint="eastAsia" w:ascii="Times New Roman" w:hAnsi="Times New Roman" w:eastAsia="方正仿宋_GBK" w:cs="Times New Roman"/>
          <w:b/>
          <w:bCs/>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海上国宝看钦州</w:t>
      </w:r>
      <w:r>
        <w:rPr>
          <w:rFonts w:hint="eastAsia" w:ascii="Times New Roman" w:hAnsi="Times New Roman" w:eastAsia="方正仿宋_GBK" w:cs="Times New Roman"/>
          <w:b/>
          <w:bCs/>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品牌形象。</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深挖本地独有资源价值，围绕钦州中华白海豚等本土文化旅游IP，设计钦州文化旅游创意IP形象。实施精准营销，增强文化旅游IP符号大众认知度，引爆市场。将文化旅游IP形象融入文化旅游创意商品设计</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和</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全域景观打造中，实现钦州旅游IP市场化</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主题IP景观化。</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多渠道开展新媒体营销。</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构建钦州市旅游品牌网络媒体立体化宣传格局。全国性网络平台为首选，地方服务性平台为辅助，选择契合度高的0TA（在线旅行社）平台进行推广，顺应网络发展趋势，兼顾网络媒体的PC端与移动端，充分利用好微信公众号、抖音、微博、今日头条等新媒体平台，推出高质量的钦州文化旅游短视频、专栏等。美图硬广、软文推广、影音视频多种形式结合，鼓励有较大影响力的资深驴友、美食达人、拍客、网红等参与宣传钦州文化旅游，充分扩大钦州文化旅游在国内外市场的知名度。</w:t>
      </w:r>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413" w:name="_Toc7959"/>
      <w:bookmarkStart w:id="414" w:name="_Toc642841471"/>
      <w:bookmarkStart w:id="415" w:name="_Toc203920017"/>
      <w:bookmarkStart w:id="416" w:name="_Toc1662375903"/>
      <w:bookmarkStart w:id="417" w:name="_Toc2027154484"/>
      <w:bookmarkStart w:id="418" w:name="_Toc84945359"/>
      <w:bookmarkStart w:id="419" w:name="_Toc442723621"/>
      <w:r>
        <w:rPr>
          <w:rFonts w:hint="default" w:ascii="Times New Roman" w:hAnsi="Times New Roman" w:eastAsia="方正黑体_GBK" w:cs="Times New Roman"/>
          <w:b w:val="0"/>
          <w:bCs w:val="0"/>
          <w:color w:val="000000" w:themeColor="text1"/>
          <w:highlight w:val="none"/>
          <w14:textFill>
            <w14:solidFill>
              <w14:schemeClr w14:val="tx1"/>
            </w14:solidFill>
          </w14:textFill>
        </w:rPr>
        <w:t>四、提升产业要素品质</w:t>
      </w:r>
      <w:bookmarkEnd w:id="413"/>
      <w:bookmarkEnd w:id="414"/>
      <w:bookmarkEnd w:id="415"/>
      <w:bookmarkEnd w:id="416"/>
      <w:bookmarkEnd w:id="417"/>
      <w:bookmarkEnd w:id="418"/>
      <w:bookmarkEnd w:id="419"/>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420" w:name="_Toc84945360"/>
      <w:bookmarkStart w:id="421" w:name="_Toc85051005"/>
      <w:bookmarkStart w:id="422" w:name="_Toc3472"/>
      <w:bookmarkStart w:id="423" w:name="_Toc85206550"/>
      <w:bookmarkStart w:id="424" w:name="_Toc85183115"/>
      <w:bookmarkStart w:id="425" w:name="_Toc4074"/>
      <w:bookmarkStart w:id="426" w:name="_Toc1061725572"/>
      <w:bookmarkStart w:id="427" w:name="_Toc1782046441"/>
      <w:bookmarkStart w:id="428" w:name="_Toc1596258945"/>
      <w:bookmarkStart w:id="429" w:name="_Toc366287106"/>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（一）促进旅游景区提质升级</w:t>
      </w:r>
      <w:bookmarkEnd w:id="420"/>
      <w:bookmarkEnd w:id="421"/>
      <w:bookmarkEnd w:id="422"/>
      <w:bookmarkEnd w:id="423"/>
      <w:bookmarkEnd w:id="424"/>
      <w:bookmarkEnd w:id="42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26"/>
      <w:bookmarkEnd w:id="427"/>
      <w:bookmarkEnd w:id="428"/>
      <w:bookmarkEnd w:id="429"/>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加快推进景区提质升级转型发展。</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立足游客需求，推动智慧旅游向纵深发展，全力激活文旅消费潜力。要坚持以人为本，加强精细化管理，加快推进景区厕所、停车场、标识标牌等基础设施提质改造工作，进一步调整功能布局，做优周边环境，畅通交通衔接，为游客提供更加便捷舒适的旅游体验；紧紧围绕</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吃住行游购娱</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六要素，积极探索</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旅游+</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模式，着力调整旅游业态，丰富文旅产品供给，有效点亮</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夜间经济</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，打造新型</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网红地</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，让游客坐下来、住下来、玩下来；加强部门间的沟通协作，强化智慧旅游建设，加速实现景区数字化、网络化、智能化升级，形成以游客需求为中心的旅游全程化服务体系，促进全市旅游向高端化发展。</w:t>
      </w:r>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加快旅游度假区创建步伐</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充分整合旅游资源，深化项目谋划，全力打造特色亮点项目，加快推进以三娘湾、茅尾海和五皇山为重点的国家级旅游度假区创建步伐，强化度假区的建设指导，开发度假产品，营造休闲度假氛围，同时以创建自治区级旅游度假区为抓手，培育国家级旅游度假区发展梯队，建设一批高质量的旅游度假项目。</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430" w:name="_Toc85206551"/>
      <w:bookmarkStart w:id="431" w:name="_Toc4381"/>
      <w:bookmarkStart w:id="432" w:name="_Toc84945361"/>
      <w:bookmarkStart w:id="433" w:name="_Toc85183116"/>
      <w:bookmarkStart w:id="434" w:name="_Toc8104"/>
      <w:bookmarkStart w:id="435" w:name="_Toc85051006"/>
      <w:bookmarkStart w:id="436" w:name="_Toc1351607495"/>
      <w:bookmarkStart w:id="437" w:name="_Toc1143832410"/>
      <w:bookmarkStart w:id="438" w:name="_Toc1403226787"/>
      <w:bookmarkStart w:id="439" w:name="_Toc169984845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（二）提升旅行社业发展水平</w:t>
      </w:r>
      <w:bookmarkEnd w:id="430"/>
      <w:bookmarkEnd w:id="431"/>
      <w:bookmarkEnd w:id="432"/>
      <w:bookmarkEnd w:id="433"/>
      <w:bookmarkEnd w:id="434"/>
      <w:bookmarkEnd w:id="43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36"/>
      <w:bookmarkEnd w:id="437"/>
      <w:bookmarkEnd w:id="438"/>
      <w:bookmarkEnd w:id="439"/>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打造一批特色旅行社。</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加快旅行社改革创新步伐，增强发展动力、经营活力和竞争能力。规范推广委托代理制，整合形成一批实力雄厚的旅行社集团，拓展多元化业务范围。立足特定旅游消费群体，面向专项旅游市场，打造一批特色中小旅行社。</w:t>
      </w:r>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促进旅行社提质升级。</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加快旅行社服务的信息化改造，引导传统旅行社向网络化业态演变，培育与实体服务相结合的旅游电子服务商，引导传统旅行社与旅游电商的合作发展。大力推进旅行社创新经营模式，切实提升多样化、全方位的旅游服务功能。</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440" w:name="_Toc2974"/>
      <w:bookmarkStart w:id="441" w:name="_Toc85183117"/>
      <w:bookmarkStart w:id="442" w:name="_Toc85051007"/>
      <w:bookmarkStart w:id="443" w:name="_Toc85206552"/>
      <w:bookmarkStart w:id="444" w:name="_Toc84945362"/>
      <w:bookmarkStart w:id="445" w:name="_Toc21444"/>
      <w:bookmarkStart w:id="446" w:name="_Toc268224407"/>
      <w:bookmarkStart w:id="447" w:name="_Toc231641688"/>
      <w:bookmarkStart w:id="448" w:name="_Toc1639932118"/>
      <w:bookmarkStart w:id="449" w:name="_Toc1261729676"/>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（三）塑造旅游餐饮服务品牌</w:t>
      </w:r>
      <w:bookmarkEnd w:id="440"/>
      <w:bookmarkEnd w:id="441"/>
      <w:bookmarkEnd w:id="442"/>
      <w:bookmarkEnd w:id="443"/>
      <w:bookmarkEnd w:id="444"/>
      <w:bookmarkEnd w:id="44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46"/>
      <w:bookmarkEnd w:id="447"/>
      <w:bookmarkEnd w:id="448"/>
      <w:bookmarkEnd w:id="449"/>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培育一批地方特色餐饮店。</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开发一批具备钦州历史性、民俗性等丰富文化内涵的，以海鲜、文化、民族、生态和乡村等为主题的特色餐饮名店。餐饮店环境融入钦州当地文化要素，菜品也具备明显的钦州美食地域特色，形成一批上规模、有档次、特色鲜明的特色餐饮店。</w:t>
      </w:r>
    </w:p>
    <w:p>
      <w:pPr>
        <w:keepNext w:val="0"/>
        <w:keepLines w:val="0"/>
        <w:pageBreakBefore w:val="0"/>
        <w:kinsoku/>
        <w:wordWrap/>
        <w:overflowPunct/>
        <w:topLinePunct w:val="0"/>
        <w:autoSpaceDE/>
        <w:autoSpaceDN/>
        <w:bidi w:val="0"/>
        <w:adjustRightInd/>
        <w:snapToGrid/>
        <w:spacing w:line="500" w:lineRule="exact"/>
        <w:ind w:firstLine="643"/>
        <w:textAlignment w:val="auto"/>
        <w:rPr>
          <w:rFonts w:ascii="Times New Roman" w:hAnsi="Times New Roman" w:eastAsia="仿宋_GB2312"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打造一批美食节庆品牌。</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大力开展美食文化活动，做强钦州蚝情节、钦州榴莲节、灵山荔枝文化节等节庆美食品牌，以节庆文化活动为载体，扩大美食品牌的影响力。结合文化旅游节庆、法定假日等，举办钦州美食大赛，开展系列地方特色菜、特色名小吃等评定活动，以赛事活动举办为载体，扩大钦州美食的品牌影响力。</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450" w:name="_Toc84945363"/>
      <w:bookmarkStart w:id="451" w:name="_Toc85051008"/>
      <w:bookmarkStart w:id="452" w:name="_Toc85206553"/>
      <w:bookmarkStart w:id="453" w:name="_Toc510"/>
      <w:bookmarkStart w:id="454" w:name="_Toc12150"/>
      <w:bookmarkStart w:id="455" w:name="_Toc85183118"/>
      <w:bookmarkStart w:id="456" w:name="_Toc1716614379"/>
      <w:bookmarkStart w:id="457" w:name="_Toc1755628281"/>
      <w:bookmarkStart w:id="458" w:name="_Toc1167511655"/>
      <w:bookmarkStart w:id="459" w:name="_Toc1948364697"/>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（四）提升多元旅游住宿品质</w:t>
      </w:r>
      <w:bookmarkEnd w:id="450"/>
      <w:bookmarkEnd w:id="451"/>
      <w:bookmarkEnd w:id="452"/>
      <w:bookmarkEnd w:id="453"/>
      <w:bookmarkEnd w:id="454"/>
      <w:bookmarkEnd w:id="45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56"/>
      <w:bookmarkEnd w:id="457"/>
      <w:bookmarkEnd w:id="458"/>
      <w:bookmarkEnd w:id="459"/>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打造高端度假酒店。</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科学调整结构，做强精品酒店品质化服务，优化调整钦州旅游住宿设施结构，提升旅游住宿业服务水平。依托钦州三娘湾、茅尾海等海岸资源建设滨海度假酒店，打造以滨海休闲度假、海洋文化、渔家文化等为主题</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的</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特色度假酒店；发挥五皇山、八寨沟、烟霞山等资源优势，建设一批森林康养度假主题酒店，形成一批度假设施完善、度假环境良好的高端度假酒店群。</w:t>
      </w:r>
    </w:p>
    <w:p>
      <w:pPr>
        <w:pStyle w:val="19"/>
        <w:keepNext w:val="0"/>
        <w:keepLines w:val="0"/>
        <w:pageBreakBefore w:val="0"/>
        <w:kinsoku/>
        <w:wordWrap/>
        <w:overflowPunct/>
        <w:topLinePunct w:val="0"/>
        <w:autoSpaceDE/>
        <w:autoSpaceDN/>
        <w:bidi w:val="0"/>
        <w:adjustRightInd/>
        <w:snapToGrid/>
        <w:spacing w:line="500" w:lineRule="exact"/>
        <w:ind w:left="0" w:leftChars="0" w:firstLine="642" w:firstLineChars="200"/>
        <w:jc w:val="left"/>
        <w:textAlignment w:val="auto"/>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发展新型民宿业态。</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深入挖掘文化，加强创意创新，打造主题度假民宿、特色乡村民宿等，形成差异化和个性化吸引。拓展产业维度</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空间</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培育市场化新型住宿业态。推动一批景观民宿、滨江民宿、传统建筑民宿、艺术文化民宿、康养休闲民宿等新型住宿业态健康发展，培育三娘湾星空泡泡屋、滨海公园汽车营地民宿、钦州老街建福堂、寿仙湖木屋等新住宿业态。持续推进建设石祖禅舍等一批山地康养、独具滨海特色的精品民宿。</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460" w:name="_Toc85051009"/>
      <w:bookmarkStart w:id="461" w:name="_Toc20163"/>
      <w:bookmarkStart w:id="462" w:name="_Toc84945364"/>
      <w:bookmarkStart w:id="463" w:name="_Toc85183119"/>
      <w:bookmarkStart w:id="464" w:name="_Toc3243"/>
      <w:bookmarkStart w:id="465" w:name="_Toc85206554"/>
      <w:bookmarkStart w:id="466" w:name="_Toc1417846926"/>
      <w:bookmarkStart w:id="467" w:name="_Toc2090484822"/>
      <w:bookmarkStart w:id="468" w:name="_Toc1837746937"/>
      <w:bookmarkStart w:id="469" w:name="_Toc111967342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（五）提升旅游购物消费水平</w:t>
      </w:r>
      <w:bookmarkEnd w:id="460"/>
      <w:bookmarkEnd w:id="461"/>
      <w:bookmarkEnd w:id="462"/>
      <w:bookmarkEnd w:id="463"/>
      <w:bookmarkEnd w:id="464"/>
      <w:bookmarkEnd w:id="46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66"/>
      <w:bookmarkEnd w:id="467"/>
      <w:bookmarkEnd w:id="468"/>
      <w:bookmarkEnd w:id="469"/>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开发特色旅游商品和购物场所。</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深入挖掘特色旅游商品资源，推出钦州旅游商品推荐名录，重点打造坭兴陶、大蚝、燕窝、桂味荔枝、红椎菌、神蜉酒、海鸭蛋、荔枝蜜、灵山茗茶、浦北禅茶等系列旅游产品。打造依托城市中心、交通枢纽、景区景点、交通干线周边等设计不同等级不同规模的购物场所。继续推进在三娘湾、八寨沟、刘冯旧居、千年古陶城、孔雀湾公园、六峰山、五皇山等重点景区建设文创旅游商品示范点。</w:t>
      </w:r>
    </w:p>
    <w:p>
      <w:pPr>
        <w:spacing w:line="540" w:lineRule="exact"/>
        <w:ind w:firstLine="643"/>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打造夜间文化旅游消费集聚区。</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依托中心城区、</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各</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县区，大力发展夜间文旅经济，积极建设钦州老街、鸿发夜市街、钦州美食一条街、灵山千年街、浦北晨华文旅街等夜间文旅消费集聚区。推动</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一江两岸</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城市夜景灯光工程，提升夜游钦州产品品质。依托旅游景区、休闲街区、文化驿站等建设一批24小时书店。优化文化旅游场所的夜间服务，开展夜食、夜购、夜娱、夜展、夜秀、夜读、夜健等夜间消费活动，丰富夜间旅游市场。</w:t>
      </w:r>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积极发展入境旅游与免税购物。</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依托自贸区钦州港片区，充分享受保税港区保税、退税、免税等特殊优惠政策，通过拓展保税、退税、免税购物区，增加商品种类，开通网络免税购物系统等完善文旅购物消费体系，打造保税免税购物天堂。加强与防城港边境旅游试验区对接，重点发展免签旅游，逐步突出钦州作为</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北部湾</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旅游目的地功能，加强海丝沿线主题旅游线路共同开拓。逐步开通至东盟国家的邮轮旅游航线，积极争取实施外国旅游团乘坐邮轮免签入境15天政策。</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470" w:name="_Toc84945365"/>
      <w:bookmarkStart w:id="471" w:name="_Toc19040"/>
      <w:bookmarkStart w:id="472" w:name="_Toc1261"/>
      <w:bookmarkStart w:id="473" w:name="_Toc85206555"/>
      <w:bookmarkStart w:id="474" w:name="_Toc85051010"/>
      <w:bookmarkStart w:id="475" w:name="_Toc85183120"/>
      <w:bookmarkStart w:id="476" w:name="_Toc1602671416"/>
      <w:bookmarkStart w:id="477" w:name="_Toc1776523879"/>
      <w:bookmarkStart w:id="478" w:name="_Toc833582817"/>
      <w:bookmarkStart w:id="479" w:name="_Toc100112176"/>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（六）营造休闲文旅娱乐氛围</w:t>
      </w:r>
      <w:bookmarkEnd w:id="470"/>
      <w:bookmarkEnd w:id="471"/>
      <w:bookmarkEnd w:id="472"/>
      <w:bookmarkEnd w:id="473"/>
      <w:bookmarkEnd w:id="474"/>
      <w:bookmarkEnd w:id="47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76"/>
      <w:bookmarkEnd w:id="477"/>
      <w:bookmarkEnd w:id="478"/>
      <w:bookmarkEnd w:id="479"/>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打造钦州特色旅游演艺精品</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完善文旅文化娱乐体系，打造钦州特色娱乐品牌。推动文艺与旅游深度融合，鼓励创作以钦州特色文化旅游资源为题材的文学、戏剧、音乐、美术、影视剧作品及广播电视、网络视听、综艺节目。推进景区开发高品质的实景演出、主题公园演出、驻场演出和旅游巡演项目，持续办好全民艺术普及系列活动，打造钦州品牌艺术赛事。</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24"/>
          <w:highlight w:val="none"/>
          <w14:textFill>
            <w14:solidFill>
              <w14:schemeClr w14:val="tx1"/>
            </w14:solidFill>
          </w14:textFill>
        </w:rPr>
        <w:t>积极发展休闲娱乐业态。</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结合旅游景区景点、特色小镇、特色街区、主题乡村、旅游集散地等，建设特色文化街区、文旅综合体、游乐场、文化休闲会所、文化商业广场等文化休闲设施，培育演艺、歌厅、酒吧、茶艺、养生等休闲娱乐业态。在钦州老街、钦江一江两岸、白石湖、三娘湾、辣椒槌滨海公园等地建立</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爱和勇气</w:t>
      </w:r>
      <w:r>
        <w:rPr>
          <w:rFonts w:hint="eastAsia" w:ascii="Times New Roman" w:hAnsi="Times New Roman" w:eastAsia="方正仿宋_GBK" w:cs="Times New Roman"/>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24"/>
          <w:highlight w:val="none"/>
          <w14:textFill>
            <w14:solidFill>
              <w14:schemeClr w14:val="tx1"/>
            </w14:solidFill>
          </w14:textFill>
        </w:rPr>
        <w:t>主题旅游拍摄基地，举办摄影比赛、摄影展、摄影沙龙等活动。开展精品娱乐节目的目的地、客源地、网络立体营销，共同支撑建设钦州文旅娱乐产品体系，强化钦州娱乐体验吸引。</w:t>
      </w:r>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480" w:name="_Toc1648858562"/>
      <w:bookmarkStart w:id="481" w:name="_Toc14577"/>
      <w:bookmarkStart w:id="482" w:name="_Toc68760516"/>
      <w:bookmarkStart w:id="483" w:name="_Toc1063978303"/>
      <w:bookmarkStart w:id="484" w:name="_Toc1925025897"/>
      <w:bookmarkStart w:id="485" w:name="_Toc84945366"/>
      <w:r>
        <w:rPr>
          <w:rFonts w:hint="default" w:ascii="Times New Roman" w:hAnsi="Times New Roman" w:eastAsia="方正黑体_GBK" w:cs="Times New Roman"/>
          <w:b w:val="0"/>
          <w:bCs w:val="0"/>
          <w:color w:val="000000" w:themeColor="text1"/>
          <w:highlight w:val="none"/>
          <w14:textFill>
            <w14:solidFill>
              <w14:schemeClr w14:val="tx1"/>
            </w14:solidFill>
          </w14:textFill>
        </w:rPr>
        <w:t>五、加快建设文旅公共体系</w:t>
      </w:r>
      <w:bookmarkEnd w:id="480"/>
      <w:bookmarkEnd w:id="481"/>
      <w:bookmarkEnd w:id="482"/>
      <w:bookmarkEnd w:id="483"/>
      <w:bookmarkEnd w:id="484"/>
      <w:bookmarkEnd w:id="485"/>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486" w:name="_Toc85051012"/>
      <w:bookmarkStart w:id="487" w:name="_Toc85206557"/>
      <w:bookmarkStart w:id="488" w:name="_Toc85183122"/>
      <w:bookmarkStart w:id="489" w:name="_Toc84945367"/>
      <w:bookmarkStart w:id="490" w:name="_Toc11089"/>
      <w:bookmarkStart w:id="491" w:name="_Toc16181"/>
      <w:bookmarkStart w:id="492" w:name="_Toc1695853299"/>
      <w:bookmarkStart w:id="493" w:name="_Toc586845668"/>
      <w:bookmarkStart w:id="494" w:name="_Toc1297498998"/>
      <w:bookmarkStart w:id="495" w:name="_Toc461107026"/>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（一）提升文化公共服务水平</w:t>
      </w:r>
      <w:bookmarkEnd w:id="486"/>
      <w:bookmarkEnd w:id="487"/>
      <w:bookmarkEnd w:id="488"/>
      <w:bookmarkEnd w:id="489"/>
      <w:bookmarkEnd w:id="490"/>
      <w:bookmarkEnd w:id="49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492"/>
      <w:bookmarkEnd w:id="493"/>
      <w:bookmarkEnd w:id="494"/>
      <w:bookmarkEnd w:id="495"/>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完善公共文化服务设施网络建设</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21"/>
          <w:szCs w:val="24"/>
          <w:highlight w:val="none"/>
          <w14:textFill>
            <w14:solidFill>
              <w14:schemeClr w14:val="tx1"/>
            </w14:solidFill>
          </w14:textFill>
        </w:rPr>
      </w:pPr>
      <w:bookmarkStart w:id="496" w:name="_Toc58578050"/>
      <w:bookmarkStart w:id="497" w:name="_Toc60954407"/>
      <w:bookmarkStart w:id="498" w:name="_Toc58701905"/>
      <w:bookmarkStart w:id="499" w:name="_Toc58262211"/>
      <w:bookmarkStart w:id="500" w:name="_Toc58746826"/>
      <w:bookmarkStart w:id="501" w:name="_Toc60955645"/>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加快重大公共文化设施建设。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加快推进市博物馆馆址、平陆运河博物馆、市非物质文化遗产展示馆、市美术馆</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、市音乐展播厅</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等现代公共文化场馆标准化、高质量建设，打造人文新地标。加快设备升级更新，大力推进钦南区文化馆、图书馆和钦北区文化馆、图书馆</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浦北县新图书馆建设。对镇（街道）综合文化站等进行填平补齐建设，重点提升武利、伯劳、北通、白石水等镇文化设施，探索城乡融合高质量发展新路径。完善镇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文化广播电视站建设，优化市</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县区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（街道）、行政</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村</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（社区）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四级公共文化设施网络。提高全市图书馆达到国家二级、文化馆达到国家三级以上水平；</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推动建设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镇（街道）综合文化站</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，建筑面积</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达到300平方米以上并独立设置；</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行政</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村（社区）综合性文化服务中心</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建筑面积</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达到160平方米以上。</w:t>
      </w:r>
      <w:bookmarkEnd w:id="496"/>
      <w:bookmarkEnd w:id="497"/>
      <w:bookmarkEnd w:id="498"/>
      <w:bookmarkEnd w:id="499"/>
      <w:bookmarkEnd w:id="500"/>
      <w:bookmarkEnd w:id="501"/>
      <w:bookmarkStart w:id="502" w:name="_Toc60954408"/>
      <w:bookmarkStart w:id="503" w:name="_Toc60955646"/>
      <w:bookmarkStart w:id="504" w:name="_Toc58746827"/>
      <w:bookmarkStart w:id="505" w:name="_Toc58262212"/>
      <w:bookmarkStart w:id="506" w:name="_Toc58578051"/>
      <w:bookmarkStart w:id="507" w:name="_Toc62549436"/>
      <w:bookmarkStart w:id="508" w:name="_Toc58701906"/>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扩展公共文化设施利用空间</w:t>
      </w:r>
      <w:bookmarkEnd w:id="502"/>
      <w:bookmarkEnd w:id="503"/>
      <w:bookmarkEnd w:id="504"/>
      <w:bookmarkEnd w:id="505"/>
      <w:bookmarkEnd w:id="506"/>
      <w:bookmarkEnd w:id="507"/>
      <w:bookmarkEnd w:id="508"/>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打造一批集休闲娱乐一体的</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城市24小时智慧书屋</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文旅驿站</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等公共文化旅游设施。依托总分馆制，将符合条件的镇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综合文化站、行政村（社区）以及各类艺术培训机构作为群众文艺辅导基地。</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推进公共文化服务标准化均等化</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bookmarkStart w:id="509" w:name="_Toc62549438"/>
      <w:bookmarkStart w:id="510" w:name="_Toc60954402"/>
      <w:bookmarkStart w:id="511" w:name="_Toc57034128"/>
      <w:bookmarkStart w:id="512" w:name="_Toc60955640"/>
      <w:bookmarkStart w:id="513" w:name="_Toc60985536"/>
      <w:bookmarkStart w:id="514" w:name="_Toc56764829"/>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统筹城乡文化资源配置</w:t>
      </w:r>
      <w:bookmarkEnd w:id="509"/>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把</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送</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文化和</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种</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文化结合起来，增加农村的文化</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造血</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功能；推动</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流动图书馆</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流动舞台车</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面向基层和农村提供流动服务、网点服务，提升馆（站）免费开放服务水平；打通公共文化服务</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最后一公里</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。深入实施农村人才文化工作者专项支持计划，进一步巩固文化脱贫攻坚成果。</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bookmarkStart w:id="515" w:name="_Toc62549440"/>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保障特殊群体均等服务</w:t>
      </w:r>
      <w:bookmarkEnd w:id="515"/>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切实保障好老年人、未成年人、残疾人、农民工、农村留守妇女儿童、生活困难群众等特殊群体的基本公共文化权益。开展面向老年人、未成年人的公益性文化艺术培训服务、演展和艺术普及活动；将农民工文化建设纳入常住地公共文化服务体系；在有条件的公共图书馆设立盲人阅览室，开展盲人阅读服务；完善公共文化场所无障碍设施，扶持残疾人文化艺术和体育健身活动。</w:t>
      </w:r>
      <w:bookmarkEnd w:id="510"/>
      <w:bookmarkEnd w:id="511"/>
      <w:bookmarkEnd w:id="512"/>
      <w:bookmarkEnd w:id="513"/>
      <w:bookmarkEnd w:id="514"/>
    </w:p>
    <w:p>
      <w:pPr>
        <w:keepNext/>
        <w:keepLines/>
        <w:numPr>
          <w:ilvl w:val="0"/>
          <w:numId w:val="8"/>
        </w:numPr>
        <w:spacing w:line="540" w:lineRule="exact"/>
        <w:ind w:left="0" w:leftChars="0" w:firstLine="642" w:firstLineChars="200"/>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创新公共文化产品和服务供给</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在发挥政府主导作用的基础上，充分借助和发挥互联网企业的积极作用，通过购买服务、搭建平台、引导扶持、提供保障等方式，鼓励互联网企业参与公共文化服务供给；针对不同群体开展体验式、互动式的公共阅读和艺术普及活动；推进</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嵌入式</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服务，将文化创意注入居民生活场所中；拓展乡村综合性文化服务中心旅游、电商、就业辅导等功能，在有效增强供给力量的同时，推动供给内容更加丰富。</w:t>
      </w:r>
      <w:bookmarkStart w:id="516" w:name="_Hlk71705279"/>
      <w:bookmarkStart w:id="517" w:name="_Toc60689103"/>
      <w:bookmarkStart w:id="518" w:name="_Toc60955650"/>
      <w:bookmarkStart w:id="519" w:name="_Toc62549444"/>
      <w:bookmarkStart w:id="520" w:name="_Toc60954412"/>
      <w:bookmarkStart w:id="521" w:name="_Toc60689272"/>
    </w:p>
    <w:p>
      <w:pPr>
        <w:spacing w:line="540" w:lineRule="exact"/>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bookmarkStart w:id="522" w:name="_Hlk83753437"/>
      <w:bookmarkStart w:id="523" w:name="_Hlk83753612"/>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继续组织开展</w:t>
      </w:r>
      <w:bookmarkEnd w:id="522"/>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广场大家乐</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壮族三月三</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欢乐田园</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农村文艺会演、群众文化艺术节、</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和谐之声</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进农村等群众文化品牌活动，积极</w:t>
      </w:r>
      <w:bookmarkStart w:id="524" w:name="_Hlk83753477"/>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搭建文化惠民平台；</w:t>
      </w:r>
      <w:bookmarkEnd w:id="524"/>
      <w:r>
        <w:rPr>
          <w:rFonts w:hint="default" w:ascii="Times New Roman" w:hAnsi="Times New Roman" w:eastAsia="方正仿宋_GBK" w:cs="Times New Roman"/>
          <w:color w:val="000000" w:themeColor="text1"/>
          <w:sz w:val="32"/>
          <w:szCs w:val="32"/>
          <w:highlight w:val="none"/>
          <w14:textFill>
            <w14:solidFill>
              <w14:schemeClr w14:val="tx1"/>
            </w14:solidFill>
          </w14:textFill>
        </w:rPr>
        <w:t>继续打造特色文艺表演小分队</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送欢乐·下基层·进景区</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文化活动新品牌，开展</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走走英雄路 听听家乡曲</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钦州老街民俗文化常态化演出和草坪音乐汇等活动，每年定期开展烟墩大鼓、采茶戏和粤曲等非遗文化演出不少于400场；以公共文旅云平台为载体，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创新开展艺术精品上云计划，促进传统文艺和网络媒体融合发展，定期组织艺术精品网络展播，加快传播方式、广度和速度，让人民群众更广泛共享文艺发展成果。</w:t>
      </w:r>
      <w:bookmarkEnd w:id="523"/>
    </w:p>
    <w:bookmarkEnd w:id="516"/>
    <w:bookmarkEnd w:id="517"/>
    <w:bookmarkEnd w:id="518"/>
    <w:bookmarkEnd w:id="519"/>
    <w:bookmarkEnd w:id="520"/>
    <w:bookmarkEnd w:id="521"/>
    <w:p>
      <w:pPr>
        <w:keepNext/>
        <w:keepLines/>
        <w:numPr>
          <w:ilvl w:val="0"/>
          <w:numId w:val="8"/>
        </w:numPr>
        <w:spacing w:line="540" w:lineRule="exact"/>
        <w:ind w:left="0" w:leftChars="0" w:firstLine="642" w:firstLineChars="200"/>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推动公共文化服务数字化发展</w:t>
      </w:r>
      <w:bookmarkStart w:id="525" w:name="_Toc60954420"/>
      <w:bookmarkStart w:id="526" w:name="_Toc57034137"/>
      <w:bookmarkStart w:id="527" w:name="_Toc56764838"/>
      <w:bookmarkStart w:id="528" w:name="_Toc60955658"/>
      <w:bookmarkStart w:id="529" w:name="_Hlk71705374"/>
      <w:bookmarkStart w:id="530" w:name="_Toc62549449"/>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jc w:val="left"/>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推进公共文化云平台建设</w:t>
      </w:r>
      <w:bookmarkEnd w:id="525"/>
      <w:bookmarkEnd w:id="526"/>
      <w:bookmarkEnd w:id="527"/>
      <w:bookmarkEnd w:id="528"/>
      <w:bookmarkEnd w:id="529"/>
      <w:bookmarkEnd w:id="530"/>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对接广西公共文化云平台，完善提升钦州公共文化服务云平台建设；推动各县区文化旅游部门建设本级公共文化云平台，实现全市各级公共文化云平台互联互通、数据共享；建设集成化管理及服务导航系统，提供便捷高效的管理后台，为群众提供</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一站式</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服务。</w:t>
      </w:r>
      <w:bookmarkStart w:id="531" w:name="_Hlk71705386"/>
      <w:bookmarkStart w:id="532" w:name="_Toc62549451"/>
      <w:bookmarkStart w:id="533" w:name="_Toc57034139"/>
      <w:bookmarkStart w:id="534" w:name="_Toc56764840"/>
      <w:bookmarkStart w:id="535" w:name="_Toc60954422"/>
      <w:bookmarkStart w:id="536" w:name="_Toc60955660"/>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加强公共文化数字资源建设</w:t>
      </w:r>
      <w:bookmarkEnd w:id="531"/>
      <w:bookmarkEnd w:id="532"/>
      <w:bookmarkEnd w:id="533"/>
      <w:bookmarkEnd w:id="534"/>
      <w:bookmarkEnd w:id="535"/>
      <w:bookmarkEnd w:id="536"/>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统一公共文化服务数字资源对接标准，整合分散的、多元的、孤立的数字资源，打造基于云端的分级分布式数字文化资源库群；完善图书馆馆藏资源及预览平台等，开展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码上阅读</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在线共读</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听书打卡</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等活动；加大群艺馆（文化馆）在线资源开发，生产并提供更加丰富的文化艺术资源产品；鼓励开展群众互联网平台预约和评价工作；鼓励打造公共文化机构自媒体公众号，培养具有黏性社群粉丝；鼓励与企业合作，探索创新有声图书馆等新型文化服务方式。</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537" w:name="_Toc85051013"/>
      <w:bookmarkStart w:id="538" w:name="_Toc85206558"/>
      <w:bookmarkStart w:id="539" w:name="_Toc31624"/>
      <w:bookmarkStart w:id="540" w:name="_Toc85183123"/>
      <w:bookmarkStart w:id="541" w:name="_Toc5103"/>
      <w:bookmarkStart w:id="542" w:name="_Toc84945368"/>
      <w:bookmarkStart w:id="543" w:name="_Toc1846950649"/>
      <w:bookmarkStart w:id="544" w:name="_Toc65093006"/>
      <w:bookmarkStart w:id="545" w:name="_Toc482460242"/>
      <w:bookmarkStart w:id="546" w:name="_Toc132737243"/>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（二）推进旅游公共服务建设</w:t>
      </w:r>
      <w:bookmarkEnd w:id="537"/>
      <w:bookmarkEnd w:id="538"/>
      <w:bookmarkEnd w:id="539"/>
      <w:bookmarkEnd w:id="540"/>
      <w:bookmarkEnd w:id="541"/>
      <w:bookmarkEnd w:id="54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543"/>
      <w:bookmarkEnd w:id="544"/>
      <w:bookmarkEnd w:id="545"/>
      <w:bookmarkEnd w:id="546"/>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完善旅游集散和咨询服务</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加大旅游集散设施投入。</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建设由旅游集散中心、集散分中心、集散点组成的集散中心体系，完善交通枢纽到景区的集散功能，形成一批文旅咨询、交通、宣传、投诉处理等功能齐备的文旅集散中心，力争到2025年，建设旅游集散中心5个以上。</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完善旅游信息咨询服务。</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在各大景区、商场、车站等增设旅游咨询点，开通并覆盖线上小程序咨询平台，开通旅游咨询服务热线，形成信息全面的旅游咨询、灵活多样的线路组合、方便快捷的购票手续等一条龙咨询服务。力争到2025年，每个县区旅游咨询服务中心达到20家以上。</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提高旅游集散服务保障。</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及时处理散客的意外情况，包括散客的消费者权利、财产安全、人身安全保障；发放旅游安全指南，实行实名登记制度，以确保散客在外的生命安全。</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持续推进旅游</w:t>
      </w:r>
      <w:r>
        <w:rPr>
          <w:rFonts w:hint="eastAsia" w:ascii="Times New Roman" w:hAnsi="Times New Roman" w:eastAsia="方正仿宋_GBK" w:cs="Times New Roman"/>
          <w:b/>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厕所革命</w:t>
      </w:r>
      <w:r>
        <w:rPr>
          <w:rFonts w:hint="eastAsia" w:ascii="Times New Roman" w:hAnsi="Times New Roman" w:eastAsia="方正仿宋_GBK" w:cs="Times New Roman"/>
          <w:b/>
          <w:color w:val="000000" w:themeColor="text1"/>
          <w:sz w:val="32"/>
          <w:szCs w:val="24"/>
          <w:highlight w:val="none"/>
          <w:lang w:eastAsia="zh-CN"/>
          <w14:textFill>
            <w14:solidFill>
              <w14:schemeClr w14:val="tx1"/>
            </w14:solidFill>
          </w14:textFill>
        </w:rPr>
        <w:t>”</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推进旅游厕所工程建设。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升级全市旅游景区、旅游线路沿线、旅游交通集散点、乡村旅游点、旅游餐馆、旅游娱乐场所、休闲步行街区等区域的旅游厕所全部达到A级标准，AAAA级以上景区、旅游度假区、全域旅游示范区内的旅游厕所60%以上达到AAA级标准。推进旅游厕所</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力争到2025年，建设旅游厕所60座以上。</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推进可持续发展型厕所建设。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改造符合现代生活文明的需求，又满足节水、节能和资源回用的厕所系统。参照现代田园循环模式进行厕所排放模式改造，在传统田园循环的基础上发展出现代资源化厕所系统。</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3.</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大力推进自驾游体系建设</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pStyle w:val="19"/>
        <w:spacing w:line="540" w:lineRule="exact"/>
        <w:ind w:left="3" w:leftChars="0" w:firstLine="558" w:firstLineChars="174"/>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bookmarkStart w:id="547" w:name="_Hlk71705542"/>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建设自驾车旅游线路</w:t>
      </w:r>
      <w:bookmarkEnd w:id="547"/>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城乡交通路网，串联全域优势旅游资源，加快完善交通体系，建设四条特色主题自驾游线路。滨海风景道自驾游线：白石湖景区—辣椒槌滨海公园—广西滨海公路龙门大桥—大风江大桥—犀丽湾—三娘湾；山地自驾游线：八寨沟—王岗山—林湖森林公园—那雾山；康养自驾游线：五皇山—石祖禅茶园—六万山林场—越州天湖；甜蜜自驾游线：桂味荔枝生态园—百年荔枝特色农业核心示范区—龙武庄园。</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建设</w:t>
      </w:r>
      <w:bookmarkStart w:id="548" w:name="_Hlk71705550"/>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自驾车营地体系</w:t>
      </w:r>
      <w:bookmarkEnd w:id="548"/>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依托自驾线路，整合沿线景区、村镇，</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力争到2025年，在五皇山、三娘湾等地建设汽车旅游营地5个以上。</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4.</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提升智慧旅游服务水平</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加快智慧旅游平台建设。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打造</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一键游钦州</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工程，对接贯通</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一键游广西</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，打造集旅游资源整合、旅游管理、旅游形象推广、旅游服务、旅游统计等功能于一体，涵盖实时客流、景区游客实时流量情况、气象、酒店、餐饮、娱乐、购物等信息的智慧平台。推动平台数据对接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智慧钦州</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大数据中心，实现横向智慧数据共享。</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加强智慧旅游监督管理。</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实行科学高效的旅游监管，建设市全域旅游云服务中心，实时接入旅游区的视频监控，对景区进行统一实时监控，及时了解景区实时情况。运用云服务中心实现应急指挥智能化。通过前端实时视频资源，构建多级联动、多级一体的旅游应急指挥体系。</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549" w:name="_Toc85051014"/>
      <w:bookmarkStart w:id="550" w:name="_Toc1758"/>
      <w:bookmarkStart w:id="551" w:name="_Toc85183124"/>
      <w:bookmarkStart w:id="552" w:name="_Toc84945369"/>
      <w:bookmarkStart w:id="553" w:name="_Toc85206559"/>
      <w:bookmarkStart w:id="554" w:name="_Toc23821"/>
      <w:bookmarkStart w:id="555" w:name="_Toc1944197528"/>
      <w:bookmarkStart w:id="556" w:name="_Toc1497288104"/>
      <w:bookmarkStart w:id="557" w:name="_Toc1923453729"/>
      <w:bookmarkStart w:id="558" w:name="_Toc88626243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（三）强化对外交流合作深度</w:t>
      </w:r>
      <w:bookmarkEnd w:id="549"/>
      <w:bookmarkEnd w:id="550"/>
      <w:bookmarkEnd w:id="551"/>
      <w:bookmarkEnd w:id="552"/>
      <w:bookmarkEnd w:id="553"/>
      <w:bookmarkEnd w:id="554"/>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555"/>
      <w:bookmarkEnd w:id="556"/>
      <w:bookmarkEnd w:id="557"/>
      <w:bookmarkEnd w:id="558"/>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推动区域合作深化发展</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bookmarkStart w:id="559" w:name="_Toc57308066"/>
      <w:bookmarkStart w:id="560" w:name="_Toc62549519"/>
      <w:bookmarkStart w:id="561" w:name="_Toc8153"/>
      <w:bookmarkStart w:id="562" w:name="_Toc57195459"/>
      <w:r>
        <w:rPr>
          <w:rFonts w:hint="default"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加强</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一带一路</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沿线国家文化和旅游合作</w:t>
      </w:r>
      <w:bookmarkEnd w:id="559"/>
      <w:bookmarkEnd w:id="560"/>
      <w:bookmarkEnd w:id="561"/>
      <w:bookmarkEnd w:id="562"/>
      <w:r>
        <w:rPr>
          <w:rFonts w:hint="default"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交流</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服务国家</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“一带一路”倡议</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部署，探索建立与双边</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多边文化和旅游合作伙伴关系，完善文化和旅游合作发展机制；参与对外交流团、</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书画</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展、动漫游戏展、美术展、摄影展、文物展、非遗展等大型艺术节庆活动；积极推动钦州重点项目参与文化和旅游部年度</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一带一路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文化产业和旅游产业国际合作重点项目；配合自治区网络广播电台，加强对区外及对港澳台文化旅游合作交流，推动网络视听新媒体对外传播能力建设。</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依托区内主要城市联动发展。</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依托大浦高速、南宁</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北海高速及高铁路线等重要交通枢纽，加强与南宁区域性国际旅游中心城市、中越边关风情旅游带的联动；以滨海休闲、海洋生态为特色，积极融入桂林—南宁—防城港—越南芒街—下龙跨国黄金自驾游线路，与上述地区形成互补发展；依托广西滨海公路龙门大桥、大风江大桥，积极构建北海—钦州—崇左—百色边海自驾游路线；结合钦州区位资源等优势，加强与北海、防城港的区域联动及错</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位发展，建设北部湾康养旅游高地，共同打响广西大健康产业品牌。</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深化与粤港澳大湾区交流合作。</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以融入粤港澳大湾区、西部陆海新通道建设为契机，立足钦州区位及自贸港优势，积极举办</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参与面向粤港澳大湾区的文化旅游体育专题招商洽谈会和文化艺术交流活动，加强科技、人才、营销等多方面交流，不断拓宽文化旅游合作领域；加强文化旅游、健康养生、休闲度假等多方面合作，共建高品质重大项目，积极发展面向粤港澳大湾区的康养旅居产业。</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积极开展对外文化交流</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bookmarkStart w:id="563" w:name="_Toc57308065"/>
      <w:bookmarkStart w:id="564" w:name="_Toc19301"/>
      <w:bookmarkStart w:id="565" w:name="_Toc57195458"/>
      <w:bookmarkStart w:id="566" w:name="_Toc62549518"/>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扩展对外文化旅游</w:t>
      </w:r>
      <w:bookmarkEnd w:id="563"/>
      <w:bookmarkEnd w:id="564"/>
      <w:bookmarkEnd w:id="565"/>
      <w:bookmarkEnd w:id="566"/>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活动。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服务国家外交大局，配合自治区大力开展与世界各国和国际组织的政府间文化交流。积极参与中国文化年、海外</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欢乐春节</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东盟博览会等重大文化交流活动，参加自治区文化艺术人才与国外同行的交流学习，弘扬优秀、传统文化，强化文化交流互鉴。精心创排、选送优秀节目参加中国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东盟文化艺术周、广西全区基层群众文艺会演、广西青年舞蹈演员比赛、</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红铜鼓</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东盟艺术教育成果展演等活动。</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引领优秀文艺精品</w:t>
      </w:r>
      <w:r>
        <w:rPr>
          <w:rFonts w:hint="default"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创编</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积极参与国家、自治区级重点文化交流项目，深化与国内外其他城市文化机构合作，大力推动优秀文化</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走出去</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，提高钦州文化影响力。推动《窑变千彩》</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《海岛情缘》</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《龙窑村的故事》及新创编艺术精品外出展演，推动本土优秀文化艺术项目申报自治区、国家和国际层面的奖项，进一步提升钦州优秀文化的知名度和品牌影响力。</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加强民间文艺活动交流。</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鼓励人民团体、民间组织、民营企业和个人从事对外文化交流，扩大面向境外的商业性展演、展映和文化产品销售。把文化</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走出去</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与外贸、科技、旅游、体育等工作有机结合起来，把展演、展映、微视频与文创产品销售结合起来，深化国际演艺交流合作。在钦州港片区设立中国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东盟文化会客厅，搭建中国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东盟的非物质文化艺术常态化表演舞台，开展中国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东盟非遗文化常态化展示，搭建中国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东盟文化交流平台，</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开启</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钦州日</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关丹日</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两市双日</w:t>
      </w:r>
      <w:r>
        <w:rPr>
          <w:rFonts w:hint="eastAsia"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及各项文化交流活动，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促进国际间文化交流，提升文化吸引力。</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567" w:name="_Toc18420"/>
      <w:bookmarkStart w:id="568" w:name="_Toc9130"/>
      <w:bookmarkStart w:id="569" w:name="_Toc85051015"/>
      <w:bookmarkStart w:id="570" w:name="_Toc84945370"/>
      <w:bookmarkStart w:id="571" w:name="_Toc85206560"/>
      <w:bookmarkStart w:id="572" w:name="_Toc85183125"/>
      <w:bookmarkStart w:id="573" w:name="_Toc1900673488"/>
      <w:bookmarkStart w:id="574" w:name="_Toc553693539"/>
      <w:bookmarkStart w:id="575" w:name="_Toc459065241"/>
      <w:bookmarkStart w:id="576" w:name="_Toc1669051060"/>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（四）完善现代文旅市场体系</w:t>
      </w:r>
      <w:bookmarkEnd w:id="567"/>
      <w:bookmarkEnd w:id="568"/>
      <w:bookmarkEnd w:id="569"/>
      <w:bookmarkEnd w:id="570"/>
      <w:bookmarkEnd w:id="571"/>
      <w:bookmarkEnd w:id="57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573"/>
      <w:bookmarkEnd w:id="574"/>
      <w:bookmarkEnd w:id="575"/>
      <w:bookmarkEnd w:id="576"/>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bookmarkStart w:id="577" w:name="_Toc514877060"/>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推进文化和旅游企业</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服务</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标准化建设</w:t>
      </w:r>
      <w:bookmarkEnd w:id="577"/>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加强文化和旅游企业服务标准的制定实施，努力改善文化和旅游企业的社会服务功能和社会效益。强化文化和旅游标准管理，进一步规范提高文化和旅游企业的服务质量</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水平。树立星级企业优秀典型，以点带面，充分发挥各示范单位的引领带动作用，不断增强企业标准化意识，引导各文化和旅游企业向标准化、品牌化和国际化的方向发展。</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培育各类文旅市场主体</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壮大龙头骨干文旅企业。</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围绕重点文旅产业领域，积极培育龙头骨干文旅企业和大型文旅集团。支持具有综合实力的文旅企业进行跨地区、跨行业兼并重组，打造具有较强竞争力和影响力的骨干文旅企业。推进国有文旅企业的战略重组和股份制改革，积极培育竞争力强的国有或国有控股文旅企业（集团）。</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扶持中小微型文旅企业。</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鼓励中小文化企业向</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专、精、特、新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方向发展，扶持文旅领域创新创业，完善企业孵化器、众创空间、公共服务平台建设，支持互联网创业平台、交易平台等新型创业载体发展，拓宽小微文旅企业创业发展渠道，形成富有活力的文旅企业集群。</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培育外向型文旅企业。</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积极落实国家、自治区文化产品和服务出口重点企业、重点项目认定工作，引导培育一批文化出口重点企业。扶持具有钦州特色的优秀文化产品和服务出口，重点支持坭兴陶文化、海洋生态文化等文化产品进军国际市场。</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3.</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持续优化营商环境</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强化体制机制改革。</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纵深推进</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放管服</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改革，深入推进文化娱乐、上网服务等领域</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证照分离</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改革；大力营造亲商、利商、留商、暖商、敬商、懂商、悦商的浓厚重商氛围，持续打造一流营商环境；大力促进市场公平竞争，健全公平竞争审查制度，完善文化和旅游市场准入退出机制。</w:t>
      </w:r>
    </w:p>
    <w:p>
      <w:pPr>
        <w:spacing w:line="540" w:lineRule="exact"/>
        <w:ind w:firstLine="643"/>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pacing w:val="1"/>
          <w:kern w:val="0"/>
          <w:sz w:val="32"/>
          <w:szCs w:val="32"/>
          <w:highlight w:val="none"/>
          <w14:textFill>
            <w14:solidFill>
              <w14:schemeClr w14:val="tx1"/>
            </w14:solidFill>
          </w14:textFill>
        </w:rPr>
        <w:t>加强市场执法监管。</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实行行政执法事项清单管理制度，通过执法巡检</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动态化</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、警示通报</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常态化</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、执法办案</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规范化</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、投诉处理</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品质化</w:t>
      </w:r>
      <w:r>
        <w:rPr>
          <w:rFonts w:hint="eastAsia" w:ascii="Times New Roman" w:hAnsi="Times New Roman" w:eastAsia="方正仿宋_GBK" w:cs="Times New Roman"/>
          <w:color w:val="000000" w:themeColor="text1"/>
          <w:spacing w:val="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1"/>
          <w:kern w:val="0"/>
          <w:sz w:val="32"/>
          <w:szCs w:val="32"/>
          <w:highlight w:val="none"/>
          <w14:textFill>
            <w14:solidFill>
              <w14:schemeClr w14:val="tx1"/>
            </w14:solidFill>
          </w14:textFill>
        </w:rPr>
        <w:t>，有效规范市场秩序。加强对行政处罚、行政强制事项的源头治理，依法及时动态调整，切实防止执法扰民。</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bookmarkStart w:id="578" w:name="_Toc1053196274"/>
      <w:bookmarkStart w:id="579" w:name="_Toc15707"/>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4.</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加强市场安全管理</w:t>
      </w:r>
      <w:bookmarkEnd w:id="578"/>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加强文化市场安全管理。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深入开展平安文化市场建设，完善文化产品和服务内容审核机制，加强线上线下内容审核及动态监测，加强演出、艺术品、网络表演、游戏游艺、歌舞娱乐行业内容源头治理，发展积极健康的网络文化。</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加强旅游市场安全管理。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构建旅游安全保障体系，强化事前预防、事发预警、事中救援和事后重建机制。完善旅游安全预警应对机制，加强重点时段、重大节庆活动及高风险项目的安全监管。建立旅行社动态管理机制。健全旅游住宿业标准的监督实施机制。规范在线旅游经营服务，对在线旅游等新兴业态坚持包容审慎监管。</w:t>
      </w:r>
    </w:p>
    <w:p>
      <w:pPr>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落实消防安全主体责任。</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推进文化旅游行业消防安全标准化管理，加强消防安全宣传，落实消防安全主体责任。</w:t>
      </w:r>
    </w:p>
    <w:p>
      <w:pPr>
        <w:keepNext/>
        <w:keepLines w:val="0"/>
        <w:pageBreakBefore w:val="0"/>
        <w:widowControl w:val="0"/>
        <w:numPr>
          <w:ilvl w:val="0"/>
          <w:numId w:val="8"/>
        </w:numPr>
        <w:kinsoku/>
        <w:wordWrap/>
        <w:overflowPunct/>
        <w:topLinePunct w:val="0"/>
        <w:autoSpaceDE/>
        <w:autoSpaceDN/>
        <w:bidi w:val="0"/>
        <w:adjustRightInd/>
        <w:snapToGrid/>
        <w:spacing w:line="500" w:lineRule="exact"/>
        <w:ind w:left="0" w:leftChars="0" w:firstLine="642" w:firstLineChars="200"/>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bookmarkStart w:id="580" w:name="_Toc2084578709"/>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加强综合行政执法</w:t>
      </w:r>
      <w:bookmarkEnd w:id="579"/>
      <w:bookmarkEnd w:id="580"/>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建强文化市场综合行政执法队伍。</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执法队伍培训，加强对各类行政法规的学习，提升执法人员的专业素质与执法水平。加强执法人员队伍队风队纪建设，规范着装、文明用语，树立风清气正、纪律严明、公平正义、作风干练的执法队伍良好形象。</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强化行政执法法治化建设。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落实行政执法公示制度，强化社会监管；落实执法全过程记录制度，实现可回溯；落实重大执法决定法制审核制度，确保公正公平。抓好行政执法人员的职业道德教育，转变观念、提高认识，增强服务意识，让文明执法、为民服务成为习惯，杜绝不文明执法现象。</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建立部门联合执法长效机制。</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与公安、市场监管、交通、卫生等部门的沟通协作，形成部门联合执法长效机制。开展常态化文化广电体育旅游综合执法工作，探索第三方体检式暗访。加强区域执法协作，进一步拓展文化广电体育旅游案件受理、转办、移交渠道，实现投诉举报联合处置、协同互动常态化。</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加大突出问题整治。</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针对文化旅游市场重点领域的突出问题，及时查处整治，加大对</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不合理低价游</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和强迫消费等违法行为的惩处力度，维护文化和旅游市场的繁荣稳定。</w:t>
      </w:r>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581" w:name="_Toc20911"/>
      <w:bookmarkStart w:id="582" w:name="_Toc524369591"/>
      <w:bookmarkStart w:id="583" w:name="_Toc754251948"/>
      <w:bookmarkStart w:id="584" w:name="_Toc1189906907"/>
      <w:bookmarkStart w:id="585" w:name="_Toc1248237668"/>
      <w:bookmarkStart w:id="586" w:name="_Toc84945371"/>
      <w:r>
        <w:rPr>
          <w:rFonts w:hint="default" w:ascii="Times New Roman" w:hAnsi="Times New Roman" w:eastAsia="方正黑体_GBK" w:cs="Times New Roman"/>
          <w:b w:val="0"/>
          <w:bCs w:val="0"/>
          <w:color w:val="000000" w:themeColor="text1"/>
          <w:highlight w:val="none"/>
          <w14:textFill>
            <w14:solidFill>
              <w14:schemeClr w14:val="tx1"/>
            </w14:solidFill>
          </w14:textFill>
        </w:rPr>
        <w:t>六、推进文旅多元化融合发展</w:t>
      </w:r>
      <w:bookmarkEnd w:id="581"/>
      <w:bookmarkEnd w:id="582"/>
      <w:bookmarkEnd w:id="583"/>
      <w:bookmarkEnd w:id="584"/>
      <w:bookmarkEnd w:id="585"/>
      <w:bookmarkEnd w:id="586"/>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587" w:name="_Toc32709"/>
      <w:bookmarkStart w:id="588" w:name="_Toc85206562"/>
      <w:bookmarkStart w:id="589" w:name="_Toc85051017"/>
      <w:bookmarkStart w:id="590" w:name="_Toc84945372"/>
      <w:bookmarkStart w:id="591" w:name="_Toc85183127"/>
      <w:bookmarkStart w:id="592" w:name="_Toc19155"/>
      <w:bookmarkStart w:id="593" w:name="_Toc1548477995"/>
      <w:bookmarkStart w:id="594" w:name="_Toc535847705"/>
      <w:bookmarkStart w:id="595" w:name="_Toc651549427"/>
      <w:bookmarkStart w:id="596" w:name="_Toc1742399199"/>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（一）推进</w:t>
      </w:r>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文旅+健康</w:t>
      </w:r>
      <w:bookmarkEnd w:id="587"/>
      <w:bookmarkEnd w:id="588"/>
      <w:bookmarkEnd w:id="589"/>
      <w:bookmarkEnd w:id="590"/>
      <w:bookmarkEnd w:id="591"/>
      <w:bookmarkEnd w:id="59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593"/>
      <w:bookmarkEnd w:id="594"/>
      <w:bookmarkEnd w:id="595"/>
      <w:bookmarkEnd w:id="596"/>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推进康养旅游发展壮大</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加强健康旅游基地建设。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推进广西中医药健康旅游示范区（基地）建设，开发和推介一批体验性强、参与度广的中医药、康复疗养、休闲养生等健康旅游路线和产品。依托山地、滨湖、森林等资源，建设石祖岭禅茶旅游康养基地、五皇山山地旅游康养基地、越州天湖滨湖旅游康养基地、六万山山地旅游康养基地、大东山山地旅游康养基地等，打造功能完善、特色鲜明的旅游康养基地。</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提升健康旅游服务品质。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加强健康旅游基础设施建设，进一步完善旅游服务与安全设施</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、无障碍设施通道</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等。健全公共服务网络，建设具有宣传促销、咨询、预订、投诉等功能的综合性健康旅游服务平台。引导健康旅游服务相关支撑产业集聚发展，打造药械制造、技术研发、健康管理、疾病治疗、康复疗养、养生养老等健康旅游产业集聚发展的产业格局。</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开发一批长寿食养品牌</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建设健康食品原料生产基地。</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充分利用钦州丰富的海洋资源、农特产品资源，以建设现代特色农业示范区为抓手，扩大</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三品一标</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认证，打造神蜉酒、燕窝、红椎菌、富硒食品、药食材等长寿健康食品原料生产基地。建立健全投入品管理、生产档案、产品检测、基地准出、农产品质量可追溯、动植物疾病统防统治，完善监管机制，确保健康食品原料标准化、安全化生产。</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打造特色健康食品深加工业。</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大特色健康食品生产的保鲜、贮存、加工等共性关键技术的研发，支持特色健康食品原料初加工、精深加工和副产物综合利用，拉长特色健康食品的产业链。大力发展海产品、水果等加工产业，重点发展干制水果类、鱼类高档休闲食品。引进一批龙头型特色食品企业，打造特色健康食品深加工业，加快农产品加工集聚发展，提高农副产品附加值，建设一批健康食品产业园。</w:t>
      </w:r>
    </w:p>
    <w:p>
      <w:pPr>
        <w:keepNext/>
        <w:keepLines/>
        <w:spacing w:line="540" w:lineRule="exact"/>
        <w:ind w:firstLine="643"/>
        <w:outlineLvl w:val="3"/>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3.</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延伸健康旅游产业链</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发展康复疗养旅游。</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 xml:space="preserve">结合本地特色优势，融合治疗、康复与旅游观光，开发日光、水疗、地热、海滨、森林、温泉等特色健康旅游线路，通过针灸、按摩、理疗、矿泉浴、日光浴、森林浴、中草药药疗等多种服务形式，提供健康疗养、慢性病疗养、老年病疗养、骨伤康复和职业病疗养等特色服务。 </w:t>
      </w:r>
    </w:p>
    <w:p>
      <w:pPr>
        <w:pageBreakBefore w:val="0"/>
        <w:kinsoku/>
        <w:wordWrap/>
        <w:overflowPunct/>
        <w:topLinePunct w:val="0"/>
        <w:autoSpaceDE/>
        <w:autoSpaceDN/>
        <w:bidi w:val="0"/>
        <w:adjustRightInd/>
        <w:snapToGrid/>
        <w:spacing w:line="500" w:lineRule="exact"/>
        <w:ind w:firstLine="643"/>
        <w:textAlignment w:val="auto"/>
        <w:rPr>
          <w:rFonts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发展休闲养生旅游。</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 xml:space="preserve">依托旅游和养生资源，将休闲度假和养生保健、修身养性有机结合，拓展养生保健服务模式，针对不同人群需求特点，打造居住型养生、环境养生、文化养生、调补养生、美食养生、美容养生、运动养生、生态养生以及抗衰老服务和健康养老等一系列旅游产品。 </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597" w:name="_Toc85183128"/>
      <w:bookmarkStart w:id="598" w:name="_Toc4929"/>
      <w:bookmarkStart w:id="599" w:name="_Toc25725"/>
      <w:bookmarkStart w:id="600" w:name="_Toc85051018"/>
      <w:bookmarkStart w:id="601" w:name="_Toc85206563"/>
      <w:bookmarkStart w:id="602" w:name="_Toc84945373"/>
      <w:bookmarkStart w:id="603" w:name="_Toc276844187"/>
      <w:bookmarkStart w:id="604" w:name="_Toc1933497461"/>
      <w:bookmarkStart w:id="605" w:name="_Toc1748062054"/>
      <w:bookmarkStart w:id="606" w:name="_Toc68603728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（二）推进</w:t>
      </w:r>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文旅+农业</w:t>
      </w:r>
      <w:bookmarkEnd w:id="597"/>
      <w:bookmarkEnd w:id="598"/>
      <w:bookmarkEnd w:id="599"/>
      <w:bookmarkEnd w:id="600"/>
      <w:bookmarkEnd w:id="601"/>
      <w:bookmarkEnd w:id="60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03"/>
      <w:bookmarkEnd w:id="604"/>
      <w:bookmarkEnd w:id="605"/>
      <w:bookmarkEnd w:id="606"/>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扩展农特产品销售途径</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研发一批农特文旅产品。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鼓励</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并</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支持特色农副产品进行商标注册和认证，加强农副产品的生产、研发和包装，推动大蚝、海鸭蛋、黄瓜皮、荔枝、红椎菌、官垌草鱼、猪肚巴等农副产品转化成为反映地方特色的旅游精品伴手礼。支持休闲农业旅游点开设田头超市、连锁购物点，并依托电商平台建立网络销售渠道，提高特色农业附加值。</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推动农特文旅产品促销。</w:t>
      </w:r>
      <w:r>
        <w:rPr>
          <w:rFonts w:hint="default" w:ascii="Times New Roman" w:hAnsi="Times New Roman" w:eastAsia="方正仿宋_GBK" w:cs="Times New Roman"/>
          <w:b w:val="0"/>
          <w:bCs w:val="0"/>
          <w:color w:val="000000" w:themeColor="text1"/>
          <w:sz w:val="32"/>
          <w:szCs w:val="32"/>
          <w:highlight w:val="none"/>
          <w:lang w:eastAsia="zh-CN"/>
          <w14:textFill>
            <w14:solidFill>
              <w14:schemeClr w14:val="tx1"/>
            </w14:solidFill>
          </w14:textFill>
        </w:rPr>
        <w:t>推进建设</w:t>
      </w:r>
      <w:r>
        <w:rPr>
          <w:rFonts w:hint="eastAsia" w:ascii="Times New Roman" w:hAnsi="Times New Roman" w:eastAsia="方正仿宋_GBK" w:cs="Times New Roman"/>
          <w:b w:val="0"/>
          <w:bCs w:val="0"/>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旅行社+农产品</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合作模式</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，积极向旅行社及在线旅游企业推荐当地名优特产代卖经销，并给予一定价格优惠；积极组织旅行社及在线旅游企业利用门市及在线平台销售</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具有农业特色的旅游伴手礼</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，培育新的增长点。打造一批辨识度高、满意度好、独具地方特色的农业特色文旅商品。</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挖掘弘扬特色农耕文化</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推动各地深入挖掘农业非物质文化遗产、农业节庆等农耕文化，建立小型农家文化展示馆、农事景观小品等，加强农耕文化、乡土民俗文化的传承与保护，特色化举办农事庆典</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、线上线下定制化农耕体验等</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活动。重点培育灵山荔枝文化节等特色农业文化旅游节庆，弘扬传承农耕文化。深入挖掘钦州</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滨海</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传统文化的民俗特色服饰、装饰、劳作器具和海歌</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等</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，将其融入到旅游演艺展示活动中，让游客了解钦州的特色滨海渔家文化。通过举办钦州蚝情节、渔歌邀请赛、开海节</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、三娘湾观潮节</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等文旅节庆，让游客在参与实践的过程中了解乡土风味、了解钦州渔家独特饮食、劳作方式、捕捞演进等。</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07" w:name="_Toc84945374"/>
      <w:bookmarkStart w:id="608" w:name="_Toc85051019"/>
      <w:bookmarkStart w:id="609" w:name="_Toc16594"/>
      <w:bookmarkStart w:id="610" w:name="_Toc85206564"/>
      <w:bookmarkStart w:id="611" w:name="_Toc85183129"/>
      <w:bookmarkStart w:id="612" w:name="_Toc7218"/>
      <w:bookmarkStart w:id="613" w:name="_Toc1335405665"/>
      <w:bookmarkStart w:id="614" w:name="_Toc1995946181"/>
      <w:bookmarkStart w:id="615" w:name="_Toc1932017255"/>
      <w:bookmarkStart w:id="616" w:name="_Toc7263736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w:t>
      </w:r>
      <w:bookmarkEnd w:id="607"/>
      <w:bookmarkEnd w:id="608"/>
      <w:bookmarkEnd w:id="609"/>
      <w:bookmarkStart w:id="617" w:name="_Toc85051020"/>
      <w:bookmarkStart w:id="618" w:name="_Toc7487"/>
      <w:bookmarkStart w:id="619" w:name="_Toc8494537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推进</w:t>
      </w:r>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文旅+工业</w:t>
      </w:r>
      <w:bookmarkEnd w:id="610"/>
      <w:bookmarkEnd w:id="611"/>
      <w:bookmarkEnd w:id="612"/>
      <w:bookmarkEnd w:id="617"/>
      <w:bookmarkEnd w:id="618"/>
      <w:bookmarkEnd w:id="619"/>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13"/>
      <w:bookmarkEnd w:id="614"/>
      <w:bookmarkEnd w:id="615"/>
      <w:bookmarkEnd w:id="616"/>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打造一批工业旅游产品</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依托石化工业基地、中马钦州产业园区、坭兴陶产业园等工业资源，深入挖掘蕴含其中的优秀文化、工匠情怀、创新精神，探索创新工业旅游新业态，开发工业企业生产参观、修学教育、产品制造体验等旅游活动，推出工业艺术文化游、工业研学游、陶瓷文化体验游、陶瓷购物游、石化基地观光游等工业旅游品牌。主要是以博物馆</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展览</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的形式，展示企业的历史，产品进化史，辅助工具升级换代史，</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同时</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融入3D影片、DIY体验、作品展览等活动。通过建设隔离装置，开放生产线，满足游客的好奇心和求知欲，让游客充分了解产品，产生对企业及产品的忠诚度，对企业和品牌起到最好的广告宣传作用。</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推进文旅装备制造业发展</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依托自贸试验区钦州港片区的区位优势、工业基础和山水特色资源，深化工业和旅游融合发展，探索先进装备制造、绿色新材料在文旅装备领域应用，建设钦州文化旅游装备制造产业园，发展以房车、观光车、户外运动装备为主，其他旅游装备制造为辅的装备制造产业，大力引进和加快培育一批在全国有较强竞争力的旅游装备制造企业。</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3.</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加强工业遗产保护利用</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0"/>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挖掘具有旅游开发价值的工业遗产，做好保护和治理，充分研究工业遗产的文化价值内涵，支持和引导工业遗产开展基础设施建设、环境风貌整治、景观园林工程等，高品质推进工业旅游产品、工业文化创意开发。推进钦州市坭兴工艺厂等发展工业遗产旅游项目，打造广西工业遗产旅游标杆产品。</w:t>
      </w:r>
    </w:p>
    <w:p>
      <w:pPr>
        <w:pageBreakBefore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根据工业遗产资源的属性和市场需求特征，借助工业遗产提供的舞台和场所，进行参与性业态设计、文化创意产业植入、高新技术利用和相关活动策划，把工业遗产变成城市的地标、亮丽的名片、网红打卡地。发展以工业遗产为载体的工业旅游、研学旅行，形成生产、旅游、教育、休闲一体化的工业文化体验新模式。将工业文化元素融入知识经济产品的研发设计、生产制造和消费服务中，利用5G、人工智能、虚拟现实等新技术，发展工业创意产业，打造知识经济新业态。</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20" w:name="_Toc85051022"/>
      <w:bookmarkStart w:id="621" w:name="_Toc85183130"/>
      <w:bookmarkStart w:id="622" w:name="_Toc84945377"/>
      <w:bookmarkStart w:id="623" w:name="_Toc85206565"/>
      <w:bookmarkStart w:id="624" w:name="_Toc12582"/>
      <w:bookmarkStart w:id="625" w:name="_Toc27433"/>
      <w:bookmarkStart w:id="626" w:name="_Toc104550899"/>
      <w:bookmarkStart w:id="627" w:name="_Toc1063846200"/>
      <w:bookmarkStart w:id="628" w:name="_Toc231385591"/>
      <w:bookmarkStart w:id="629" w:name="_Toc799632456"/>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（四）推进</w:t>
      </w:r>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文旅+教育</w:t>
      </w:r>
      <w:bookmarkEnd w:id="620"/>
      <w:bookmarkEnd w:id="621"/>
      <w:bookmarkEnd w:id="622"/>
      <w:bookmarkEnd w:id="623"/>
      <w:bookmarkEnd w:id="624"/>
      <w:bookmarkEnd w:id="625"/>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26"/>
      <w:bookmarkEnd w:id="627"/>
      <w:bookmarkEnd w:id="628"/>
      <w:bookmarkEnd w:id="629"/>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1.</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培育研学旅游新业态</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开展多种特色研学旅游业态。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立足钦州丰富的自然及人文资源，顺应新时代教育新需求，大力发展研学旅游，推出一批特色研学旅游品牌，落地一批研学夏令营、研学旅行基地，并积极推动编制钦州市研学旅游专项规划。立足丰富的滨海资源，以及中华白海豚栖息地等优势，开展海洋科普研学游，将钦州建设成北部湾海洋生态研学大本营；依托坭兴陶烧制技艺、古龙窑遗址、坭兴陶产业园，开展陶艺研学游；立足革命纪念馆、英雄故居、烈士陵园和红色遗址遗迹，开展红色研学游；依托烟墩大鼓、采茶戏、粤剧、海歌、竹编等非遗资源，开展非遗体验研学游；立足传统古村落、美丽乡村、田园综合体、荔枝庄园等开展特色乡村田园研学游；依托越州故城、西坑古运河等考古遗址公园，开展考古研学游；依托燕窝加工贸易基地，开展燕窝研学游</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依托红树林资源，坚持科普教育与环境保护并重的原则，开发系列科普</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生态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研学</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游。</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时期，积极建设一批中小学生研学实践教育基（营）地。</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探索部门跨界产业化运作机制。</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积极探索教育部门和旅游部门研学旅行跨界产业化运作，探索研学机构、研学基地的资质认定，摸索研学旅行导师制，逐步推进研学旅行，通过试点摸索经验，总结经验分类推广，做到品质持续提升，组织管理规范有序；努力培育研学市场主体，从旅游企业、教育中介机构中选优用优，避免市场劣币驱逐良币现象，进而产生产业联动，推动教育和旅游产业的协同发展。</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推进研学旅游规范健康发展</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探索建立学校研学旅行教育体系。</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对标国家、自治区相关政策，积极探索建立研学旅行标准，精准对接研学旅行市场，突出研学旅行课程开发，有效结合学段特点、课程体系及地域特色，逐步开发多层次、系统化的研学旅行教材产品，推进研学与旅行有机结合，强调行中学、行中悟、实践中学、学以致用，谋求全面发展。建立内容丰富、门类清晰、衔接紧密的研学旅行产品数据库，不断创新、动态调整。加强对研学旅游活动进行标准化监督管理，促进研学旅游健康发展。</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建立健全研学旅行安全预警和应急体系</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实施标准化服务体系和安全保障体系，建立包括旅行意外保险、研学专项保险在内的安全和应急综合保障体系。借鉴旅游安全立法、安全保障体系和保险等，逐步做到让研学旅行有法可依，采取强制性的意外保险制度，同时让研学旅行的安全警示、应急体系和应急预案等体系高效运转，形成基础条件保障有力、安全责任落实到位、让学校和家长放心的研学旅行发展体系。</w:t>
      </w:r>
    </w:p>
    <w:p>
      <w:pPr>
        <w:pStyle w:val="4"/>
        <w:pageBreakBefore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630" w:name="_Toc742987008"/>
      <w:bookmarkStart w:id="631" w:name="_Toc548251526"/>
      <w:bookmarkStart w:id="632" w:name="_Toc340418922"/>
      <w:bookmarkStart w:id="633" w:name="_Toc20337"/>
      <w:bookmarkStart w:id="634" w:name="_Toc84945378"/>
      <w:bookmarkStart w:id="635" w:name="_Toc96716535"/>
      <w:r>
        <w:rPr>
          <w:rFonts w:hint="default" w:ascii="Times New Roman" w:hAnsi="Times New Roman" w:eastAsia="方正黑体_GBK" w:cs="Times New Roman"/>
          <w:b w:val="0"/>
          <w:bCs w:val="0"/>
          <w:color w:val="000000" w:themeColor="text1"/>
          <w:highlight w:val="none"/>
          <w14:textFill>
            <w14:solidFill>
              <w14:schemeClr w14:val="tx1"/>
            </w14:solidFill>
          </w14:textFill>
        </w:rPr>
        <w:t>七、做强做大广播电视和网络视听事业和产业</w:t>
      </w:r>
      <w:bookmarkEnd w:id="630"/>
      <w:bookmarkEnd w:id="631"/>
      <w:bookmarkEnd w:id="632"/>
      <w:bookmarkEnd w:id="633"/>
      <w:bookmarkEnd w:id="634"/>
      <w:bookmarkEnd w:id="635"/>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36" w:name="_Toc84945379"/>
      <w:bookmarkStart w:id="637" w:name="_Toc85206567"/>
      <w:bookmarkStart w:id="638" w:name="_Toc85183132"/>
      <w:bookmarkStart w:id="639" w:name="_Toc21696"/>
      <w:bookmarkStart w:id="640" w:name="_Toc85051024"/>
      <w:bookmarkStart w:id="641" w:name="_Toc3709"/>
      <w:bookmarkStart w:id="642" w:name="_Toc1197401309"/>
      <w:bookmarkStart w:id="643" w:name="_Toc812497642"/>
      <w:bookmarkStart w:id="644" w:name="_Toc1382256789"/>
      <w:bookmarkStart w:id="645" w:name="_Toc350358428"/>
      <w:bookmarkStart w:id="646" w:name="_Toc26740"/>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（一）加快推进广播电视与媒体深度融合</w:t>
      </w:r>
      <w:bookmarkEnd w:id="636"/>
      <w:bookmarkEnd w:id="637"/>
      <w:bookmarkEnd w:id="638"/>
      <w:bookmarkEnd w:id="639"/>
      <w:bookmarkEnd w:id="640"/>
      <w:bookmarkEnd w:id="641"/>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42"/>
      <w:bookmarkEnd w:id="643"/>
      <w:bookmarkEnd w:id="644"/>
      <w:bookmarkEnd w:id="645"/>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推动舆论主流阵地建设。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牢牢把握意识形态工作领导权和主动权，高质量做好新形势下意识形态工作，把好政治方向关、舆论导向关、阵地安全关。加强意识形态领域安全风险分析研判和防控应急处置力度，严格产品、活动、项目把关，做好新业态、新媒体意识形态工作。服务振兴大局，紧紧围绕全市重大项目、重点工作、重要事项，发挥主流媒体宣传阵地作用。</w:t>
      </w:r>
    </w:p>
    <w:p>
      <w:pPr>
        <w:spacing w:line="540" w:lineRule="exact"/>
        <w:ind w:firstLine="643"/>
        <w:contextualSpacing/>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提高媒体舆论引导能力建设。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以社会主义核心价值观引领媒体宣传工作，</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鼓励和指导全市广播电视播出机构坚持守正创新，提高新闻宣传报道水平。做好建党100周年</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、党史学习教育宣传和习近平新时代中国特色社会主义思想等</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新重大主题、重大庆祝活动、重要时间节点的宣传规划，加强对落实</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三大定位</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建设壮美广西取得的重大成就、重要成果的宣传，以接地气方式讲好</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钦州故事</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做好民族团结进步宣传报道工作，引导群众牢固树立正确的国家观、历史观、民族观、文化观、宗教观，增</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群众对伟大祖国、中华民族、中华文化、中国共产党、中国特色社会主义的认同；加强市、县</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区</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广播电视媒体</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头条</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建设和网络视听媒体</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首页首屏首条</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建设，提升主流媒体新闻节目、栏目的影响力，切实加强公益广告制作展播力度；严格新闻信息的筛选和过滤，增强议题设置能力，做好重大突发事件新闻报道和权威信息发布，把握舆论引导的</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度</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效</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推进广电媒体深度融合。</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一体化发展方向和移动优先策略，推动广播电视媒体向全程媒体、全息媒体、全员媒体、全效媒体建设转变，实现各种媒介资源、生产要素有效整合，实现信息内容、技术应用、平台终端、管理手段共融互通，放大一体效能，增强融合传播覆盖面、影响力。加快灵山县、浦北县两个县级融媒体中心建设。</w:t>
      </w:r>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b/>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培育发展广电大数据产业。</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广西广电大数据基础平台，利用广电行业数据资源，推动节目内容制作实现个性化、精准化、智能化，为各级政府、媒体、民众提供广电大数据公共服务。联通文化、教育、旅游、卫生、气象等行业数据，实现数据集聚融通和综合应用，为各行业提供大数据服务。利用大数据技术为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东盟人文交流、新闻传播、内容译制、版权交易及舆情监控提供大数据服务。</w:t>
      </w:r>
    </w:p>
    <w:p>
      <w:pPr>
        <w:pStyle w:val="5"/>
        <w:keepNext w:val="0"/>
        <w:keepLines w:val="0"/>
        <w:pageBreakBefore w:val="0"/>
        <w:widowControl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47" w:name="_Toc32078"/>
      <w:bookmarkStart w:id="648" w:name="_Toc3682"/>
      <w:bookmarkStart w:id="649" w:name="_Toc85183133"/>
      <w:bookmarkStart w:id="650" w:name="_Toc84945380"/>
      <w:bookmarkStart w:id="651" w:name="_Toc85051025"/>
      <w:bookmarkStart w:id="652" w:name="_Toc85206568"/>
      <w:bookmarkStart w:id="653" w:name="_Toc646609070"/>
      <w:bookmarkStart w:id="654" w:name="_Toc371137994"/>
      <w:bookmarkStart w:id="655" w:name="_Toc850006757"/>
      <w:bookmarkStart w:id="656" w:name="_Toc1413515867"/>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（二）加快推进广播电视和网络视听节目内容创作生产</w:t>
      </w:r>
      <w:bookmarkEnd w:id="647"/>
      <w:bookmarkEnd w:id="648"/>
      <w:bookmarkEnd w:id="649"/>
      <w:bookmarkEnd w:id="650"/>
      <w:bookmarkEnd w:id="651"/>
      <w:bookmarkEnd w:id="65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53"/>
      <w:bookmarkEnd w:id="654"/>
      <w:bookmarkEnd w:id="655"/>
      <w:bookmarkEnd w:id="656"/>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打造视听节目精品力作。</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树立以人民为中心的创作导向，推进讴歌党、讴歌祖国、讴歌人民、讴歌英雄等重大主题创作，</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建设国际门户港、喜迎建党百年华诞</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等主题为重点，</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抓好</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乡村振兴</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、全面建成小康社会、建党100周年等重点选题的创作，以重点突破带动整体发展。每年推出1</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2部在广西有影响力的广播电视精品（包括电视剧、纪录片、动画片、广播剧等）；每年打造2</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3个有较高质量的优秀广播电视节目，打造1</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2部网络视听精品佳作；引导创作一批优秀广播电视公益广告作品。持续推进和大力推行</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空中课堂</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（采用</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直播+点播</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方式）和</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金色年华</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版块，实现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一老一小</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，满足足不出户在家自主学习的需要和情操培养。</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推动视听节目制作传播。</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充分发挥各级广播电视播出机构作为视听节目制作主力军的作用，建立健全专业化的节目制作机构，推动节目创作生产对接党政服务、对接民生关切、对接市场需求，完善投入机制，提升市、县</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两级广电媒体节目制作能力和水平。依托钦州白海豚</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刘永福、冯子材、冯敏昌、黄明堂等英雄人物，开展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爱和勇气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等主题广播电视和</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网络视听</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优秀</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节目创作</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展播</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。建立健全专家论证评议、创新创优培训、联合采风采访等正向引导机制，激励生产思想性、艺术性、观赏性相统一的优秀作品。</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推进广电节目制播智慧化。</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以推动制播平台云化、IP化为核心，加快制播体系从数字化、网络化向融合化、智慧化转变，推动建立</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一体化资源配置、多媒体内容汇聚、共平台内容生产、多渠道内容分发、多终端精准服务、全流程智能协同</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智慧节目制播体系。开展基于大数据、全样本、多方位的用户收视行为深度分析，实现内容选题、素材集成、需求组合、分析预测、创作生产的全流程智能化，进一步增强基层广播电视优质内容生产和供给能力。</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加快有线网络升级改造。</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推进有线电视播出前端及内容分发体系全IP化建设，加速实现互动电视与宽带网络融合化并向智慧化转变。加快推进光纤入户，实现有线网络灵活接入和带宽提升。推动有线电视网络</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云、网、端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资源要素的有效整合、融通共享和智能协同，构建新型网络架构。落实国家、自治区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全国一网整合</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战略，加快广电网络IPv6升级改造与部署，到2025年，实现广电业务IPv6地址转换，推动广电网络与各电信网IPv6互联互通。</w:t>
      </w:r>
    </w:p>
    <w:tbl>
      <w:tblPr>
        <w:tblStyle w:val="25"/>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87" w:type="dxa"/>
          </w:tcPr>
          <w:p>
            <w:pPr>
              <w:spacing w:line="360" w:lineRule="auto"/>
              <w:ind w:firstLine="0" w:firstLineChars="0"/>
              <w:jc w:val="center"/>
              <w:rPr>
                <w:rFonts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专栏4-5 精品视听节目工程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7" w:type="dxa"/>
          </w:tcPr>
          <w:p>
            <w:pPr>
              <w:spacing w:line="400" w:lineRule="exact"/>
              <w:ind w:firstLine="561" w:firstLineChars="0"/>
              <w:rPr>
                <w:rFonts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制作建党100周年主题重点作品，创作和展播</w:t>
            </w:r>
            <w:r>
              <w:rPr>
                <w:rFonts w:hint="eastAsia" w:ascii="Times New Roman" w:hAnsi="Times New Roman" w:eastAsia="方正仿宋_GBK" w:cs="方正仿宋_GBK"/>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方正仿宋_GBK" w:cs="方正仿宋_GBK"/>
                <w:color w:val="000000" w:themeColor="text1"/>
                <w:kern w:val="0"/>
                <w:sz w:val="24"/>
                <w:szCs w:val="24"/>
                <w:highlight w:val="none"/>
                <w14:textFill>
                  <w14:solidFill>
                    <w14:schemeClr w14:val="tx1"/>
                  </w14:solidFill>
                </w14:textFill>
              </w:rPr>
              <w:t>爱和勇气</w:t>
            </w:r>
            <w:r>
              <w:rPr>
                <w:rFonts w:hint="eastAsia" w:ascii="Times New Roman" w:hAnsi="Times New Roman" w:eastAsia="方正仿宋_GBK" w:cs="方正仿宋_GBK"/>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方正仿宋_GBK" w:cs="方正仿宋_GBK"/>
                <w:color w:val="000000" w:themeColor="text1"/>
                <w:kern w:val="0"/>
                <w:sz w:val="24"/>
                <w:szCs w:val="24"/>
                <w:highlight w:val="none"/>
                <w14:textFill>
                  <w14:solidFill>
                    <w14:schemeClr w14:val="tx1"/>
                  </w14:solidFill>
                </w14:textFill>
              </w:rPr>
              <w:t>等主题广播电视和</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网络视听</w:t>
            </w:r>
            <w:r>
              <w:rPr>
                <w:rFonts w:hint="default" w:ascii="Times New Roman" w:hAnsi="Times New Roman" w:eastAsia="方正仿宋_GBK" w:cs="方正仿宋_GBK"/>
                <w:color w:val="000000" w:themeColor="text1"/>
                <w:kern w:val="0"/>
                <w:sz w:val="24"/>
                <w:szCs w:val="24"/>
                <w:highlight w:val="none"/>
                <w14:textFill>
                  <w14:solidFill>
                    <w14:schemeClr w14:val="tx1"/>
                  </w14:solidFill>
                </w14:textFill>
              </w:rPr>
              <w:t>优秀</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节目，推出音乐节目《歌声飘过100年》，诗文朗诵节目《百年中华颂》，创作</w:t>
            </w:r>
            <w:r>
              <w:rPr>
                <w:rFonts w:hint="default" w:ascii="Times New Roman" w:hAnsi="Times New Roman" w:eastAsia="方正仿宋_GBK" w:cs="方正仿宋_GBK"/>
                <w:color w:val="000000" w:themeColor="text1"/>
                <w:sz w:val="24"/>
                <w:szCs w:val="24"/>
                <w:highlight w:val="none"/>
                <w:lang w:eastAsia="zh-CN"/>
                <w14:textFill>
                  <w14:solidFill>
                    <w14:schemeClr w14:val="tx1"/>
                  </w14:solidFill>
                </w14:textFill>
              </w:rPr>
              <w:t>钦州党建</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纪录片，100集系列纪录片《钦州记录》，融媒体直播民生栏目《口袋公园会》《时事直通车》。</w:t>
            </w:r>
          </w:p>
        </w:tc>
      </w:tr>
    </w:tbl>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57" w:name="_Toc30497"/>
      <w:bookmarkStart w:id="658" w:name="_Toc11618"/>
      <w:bookmarkStart w:id="659" w:name="_Toc85206569"/>
      <w:bookmarkStart w:id="660" w:name="_Toc85183134"/>
      <w:bookmarkStart w:id="661" w:name="_Toc84945381"/>
      <w:bookmarkStart w:id="662" w:name="_Toc85051026"/>
      <w:bookmarkStart w:id="663" w:name="_Toc1658519217"/>
      <w:bookmarkStart w:id="664" w:name="_Toc441962225"/>
      <w:bookmarkStart w:id="665" w:name="_Toc455272807"/>
      <w:bookmarkStart w:id="666" w:name="_Toc1853569359"/>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（三）构建</w:t>
      </w:r>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智慧钦州</w:t>
      </w:r>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现代化广播电视公共服务体系</w:t>
      </w:r>
      <w:bookmarkEnd w:id="657"/>
      <w:bookmarkEnd w:id="658"/>
      <w:bookmarkEnd w:id="659"/>
      <w:bookmarkEnd w:id="660"/>
      <w:bookmarkEnd w:id="661"/>
      <w:bookmarkEnd w:id="66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63"/>
      <w:bookmarkEnd w:id="664"/>
      <w:bookmarkEnd w:id="665"/>
      <w:bookmarkEnd w:id="666"/>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加强农村地区广播电视覆盖项目。</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加大对农村地区的扶持力度，拓展广播电视覆盖，在农村地区建设无线发射台站，</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确保全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市农村地区的广播电视公共文化服务供给达到国家基本公共服务保障标准。</w:t>
      </w:r>
    </w:p>
    <w:tbl>
      <w:tblPr>
        <w:tblStyle w:val="25"/>
        <w:tblpPr w:leftFromText="180" w:rightFromText="180" w:vertAnchor="text" w:horzAnchor="page" w:tblpX="1485" w:tblpY="268"/>
        <w:tblOverlap w:val="never"/>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220"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专栏4-6 广电公共服务基础设施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0" w:type="dxa"/>
          </w:tcPr>
          <w:p>
            <w:pPr>
              <w:keepNext w:val="0"/>
              <w:keepLines w:val="0"/>
              <w:pageBreakBefore w:val="0"/>
              <w:widowControl w:val="0"/>
              <w:kinsoku/>
              <w:wordWrap/>
              <w:overflowPunct/>
              <w:topLinePunct w:val="0"/>
              <w:autoSpaceDE/>
              <w:autoSpaceDN/>
              <w:bidi w:val="0"/>
              <w:adjustRightInd/>
              <w:snapToGrid/>
              <w:spacing w:line="400" w:lineRule="exact"/>
              <w:ind w:firstLine="562" w:firstLineChars="0"/>
              <w:textAlignment w:val="auto"/>
              <w:rPr>
                <w:rFonts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方正仿宋_GBK"/>
                <w:b/>
                <w:bCs/>
                <w:color w:val="000000" w:themeColor="text1"/>
                <w:sz w:val="24"/>
                <w:szCs w:val="24"/>
                <w:highlight w:val="none"/>
                <w14:textFill>
                  <w14:solidFill>
                    <w14:schemeClr w14:val="tx1"/>
                  </w14:solidFill>
                </w14:textFill>
              </w:rPr>
              <w:t>主城区：</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钦州中波台新址、钦州市广播电视台基础设施、钦州市广播电视无线发射台基站；</w:t>
            </w:r>
            <w:r>
              <w:rPr>
                <w:rFonts w:hint="default" w:ascii="Times New Roman" w:hAnsi="Times New Roman" w:eastAsia="方正仿宋_GBK" w:cs="方正仿宋_GBK"/>
                <w:b/>
                <w:bCs/>
                <w:color w:val="000000" w:themeColor="text1"/>
                <w:sz w:val="24"/>
                <w:szCs w:val="24"/>
                <w:highlight w:val="none"/>
                <w14:textFill>
                  <w14:solidFill>
                    <w14:schemeClr w14:val="tx1"/>
                  </w14:solidFill>
                </w14:textFill>
              </w:rPr>
              <w:t>灵山县：</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灵山中波台新址、融媒体中心升级</w:t>
            </w:r>
            <w:r>
              <w:rPr>
                <w:rFonts w:ascii="Times New Roman" w:hAnsi="Times New Roman" w:eastAsia="方正仿宋_GBK" w:cs="方正仿宋_GBK"/>
                <w:color w:val="000000" w:themeColor="text1"/>
                <w:sz w:val="24"/>
                <w:szCs w:val="24"/>
                <w:highlight w:val="none"/>
                <w14:textFill>
                  <w14:solidFill>
                    <w14:schemeClr w14:val="tx1"/>
                  </w14:solidFill>
                </w14:textFill>
              </w:rPr>
              <w:t>广播电视机房</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、办公场地；</w:t>
            </w:r>
            <w:r>
              <w:rPr>
                <w:rFonts w:hint="default" w:ascii="Times New Roman" w:hAnsi="Times New Roman" w:eastAsia="方正仿宋_GBK" w:cs="方正仿宋_GBK"/>
                <w:b/>
                <w:bCs/>
                <w:color w:val="000000" w:themeColor="text1"/>
                <w:sz w:val="24"/>
                <w:szCs w:val="24"/>
                <w:highlight w:val="none"/>
                <w14:textFill>
                  <w14:solidFill>
                    <w14:schemeClr w14:val="tx1"/>
                  </w14:solidFill>
                </w14:textFill>
              </w:rPr>
              <w:t>浦北县：</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融媒体中心基础设施优化。</w:t>
            </w:r>
            <w:r>
              <w:rPr>
                <w:rFonts w:ascii="Times New Roman" w:hAnsi="Times New Roman" w:eastAsia="方正仿宋_GBK" w:cs="方正仿宋_GBK"/>
                <w:color w:val="000000" w:themeColor="text1"/>
                <w:sz w:val="24"/>
                <w:szCs w:val="24"/>
                <w:highlight w:val="none"/>
                <w14:textFill>
                  <w14:solidFill>
                    <w14:schemeClr w14:val="tx1"/>
                  </w14:solidFill>
                </w14:textFill>
              </w:rPr>
              <w:t xml:space="preserve"> </w:t>
            </w:r>
          </w:p>
        </w:tc>
      </w:tr>
    </w:tbl>
    <w:p>
      <w:pPr>
        <w:spacing w:line="540" w:lineRule="exact"/>
        <w:ind w:firstLine="642" w:firstLineChars="20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拓展智慧广电服务业态。</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发挥广电网络、平台、用户等优势，主动服务智慧钦州建设，积极拓展广播电视在农业、教育、医疗、旅游、金融、环保等行业的综合信息服务和智能化应用等新业态，推进广播电视与物联网、车联网、移动互联网等新兴网络业态的集成创新、协同服务。服务乡村振兴战略、城乡融合发展战略，探索</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智慧社区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智慧乡镇</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经验模式，依托有线网络推进智慧乡村建设。</w:t>
      </w:r>
    </w:p>
    <w:p>
      <w:pPr>
        <w:numPr>
          <w:ilvl w:val="255"/>
          <w:numId w:val="0"/>
        </w:numPr>
        <w:spacing w:line="540" w:lineRule="exact"/>
        <w:ind w:firstLine="642" w:firstLineChars="200"/>
        <w:contextualSpacing/>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加快应急广播体系建设。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加强技术规范、基础设施建设，提升信息采集发布和运行维护支撑能力，</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充分利用现有的广播电视传输网络及相关应急基础设施，持续推进应急广播平台、网络、终端系统的建设改造。逐步建成市、县区、镇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行政</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村</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（社区）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四级贯通的应急广播体系，实现统一联动、安全可靠、平战结合，发挥应急广播在政策宣传、社会治理、风险预警、应急救灾等方面的作用，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切实满足群众生活和民生治理的多元需求。加强部门联动，拓展应急广播服务功能，主动与应急、气象、水利等具有应急管理职能的部门对接，推动应急广播系统在应急管理领域的应用。</w:t>
      </w:r>
    </w:p>
    <w:tbl>
      <w:tblPr>
        <w:tblStyle w:val="25"/>
        <w:tblpPr w:leftFromText="180" w:rightFromText="180" w:vertAnchor="text" w:horzAnchor="page" w:tblpX="1605" w:tblpY="236"/>
        <w:tblOverlap w:val="never"/>
        <w:tblW w:w="9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012" w:type="dxa"/>
          </w:tcPr>
          <w:p>
            <w:pPr>
              <w:spacing w:line="360" w:lineRule="auto"/>
              <w:ind w:firstLine="0" w:firstLineChars="0"/>
              <w:jc w:val="center"/>
              <w:rPr>
                <w:rFonts w:hint="default" w:ascii="Times New Roman" w:hAnsi="Times New Roman" w:eastAsia="方正仿宋_GBK" w:cs="Times New Roman"/>
                <w:b/>
                <w:bCs/>
                <w:color w:val="000000" w:themeColor="text1"/>
                <w:sz w:val="28"/>
                <w:szCs w:val="4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专栏4-7 应急广播体系建设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2" w:type="dxa"/>
          </w:tcPr>
          <w:p>
            <w:pPr>
              <w:spacing w:line="400" w:lineRule="exact"/>
              <w:ind w:firstLine="561" w:firstLineChars="0"/>
              <w:rPr>
                <w:rFonts w:hint="default" w:ascii="Times New Roman" w:hAnsi="Times New Roman" w:eastAsia="方正仿宋_GBK" w:cs="方正仿宋_GBK"/>
                <w:color w:val="000000" w:themeColor="text1"/>
                <w:sz w:val="24"/>
                <w:szCs w:val="24"/>
                <w:highlight w:val="none"/>
                <w14:textFill>
                  <w14:solidFill>
                    <w14:schemeClr w14:val="tx1"/>
                  </w14:solidFill>
                </w14:textFill>
              </w:rPr>
            </w:pPr>
            <w:r>
              <w:rPr>
                <w:rFonts w:hint="default" w:ascii="Times New Roman" w:hAnsi="Times New Roman" w:eastAsia="方正仿宋_GBK" w:cs="方正仿宋_GBK"/>
                <w:b/>
                <w:bCs/>
                <w:color w:val="000000" w:themeColor="text1"/>
                <w:sz w:val="24"/>
                <w:szCs w:val="24"/>
                <w:highlight w:val="none"/>
                <w14:textFill>
                  <w14:solidFill>
                    <w14:schemeClr w14:val="tx1"/>
                  </w14:solidFill>
                </w14:textFill>
              </w:rPr>
              <w:t>建设规模。</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建设1个市级平台、3个县</w:t>
            </w:r>
            <w:r>
              <w:rPr>
                <w:rFonts w:hint="default" w:ascii="Times New Roman" w:hAnsi="Times New Roman" w:eastAsia="方正仿宋_GBK" w:cs="方正仿宋_GBK"/>
                <w:color w:val="000000" w:themeColor="text1"/>
                <w:sz w:val="24"/>
                <w:szCs w:val="24"/>
                <w:highlight w:val="none"/>
                <w:lang w:eastAsia="zh-CN"/>
                <w14:textFill>
                  <w14:solidFill>
                    <w14:schemeClr w14:val="tx1"/>
                  </w14:solidFill>
                </w14:textFill>
              </w:rPr>
              <w:t>区</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级平台（灵山县、钦南区、钦北区）、42个镇（街道）级平台、794个</w:t>
            </w:r>
            <w:r>
              <w:rPr>
                <w:rFonts w:hint="default" w:ascii="Times New Roman" w:hAnsi="Times New Roman" w:eastAsia="方正仿宋_GBK" w:cs="方正仿宋_GBK"/>
                <w:color w:val="000000" w:themeColor="text1"/>
                <w:kern w:val="0"/>
                <w:sz w:val="28"/>
                <w:szCs w:val="28"/>
                <w:highlight w:val="none"/>
                <w:lang w:eastAsia="zh-CN"/>
                <w14:textFill>
                  <w14:solidFill>
                    <w14:schemeClr w14:val="tx1"/>
                  </w14:solidFill>
                </w14:textFill>
              </w:rPr>
              <w:t>行政</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村</w:t>
            </w:r>
            <w:r>
              <w:rPr>
                <w:rFonts w:hint="default" w:ascii="Times New Roman" w:hAnsi="Times New Roman" w:eastAsia="方正仿宋_GBK" w:cs="方正仿宋_GBK"/>
                <w:color w:val="000000" w:themeColor="text1"/>
                <w:kern w:val="0"/>
                <w:sz w:val="28"/>
                <w:szCs w:val="28"/>
                <w:highlight w:val="none"/>
                <w:lang w:eastAsia="zh-CN"/>
                <w14:textFill>
                  <w14:solidFill>
                    <w14:schemeClr w14:val="tx1"/>
                  </w14:solidFill>
                </w14:textFill>
              </w:rPr>
              <w:t>（社区）</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级平台及在所需覆盖区域（特别是35户以上的大自然村、学校、景点、车站、码头、广场等人群密集处）广泛部署接收终端。</w:t>
            </w:r>
          </w:p>
          <w:p>
            <w:pPr>
              <w:spacing w:line="400" w:lineRule="exact"/>
              <w:ind w:firstLine="561" w:firstLineChars="0"/>
              <w:rPr>
                <w:rFonts w:hint="default" w:ascii="Times New Roman" w:hAnsi="Times New Roman" w:eastAsia="方正仿宋_GBK" w:cs="Times New Roman"/>
                <w:b/>
                <w:bCs/>
                <w:color w:val="000000" w:themeColor="text1"/>
                <w:sz w:val="28"/>
                <w:szCs w:val="44"/>
                <w:highlight w:val="none"/>
                <w14:textFill>
                  <w14:solidFill>
                    <w14:schemeClr w14:val="tx1"/>
                  </w14:solidFill>
                </w14:textFill>
              </w:rPr>
            </w:pPr>
            <w:r>
              <w:rPr>
                <w:rFonts w:hint="default" w:ascii="Times New Roman" w:hAnsi="Times New Roman" w:eastAsia="方正仿宋_GBK" w:cs="方正仿宋_GBK"/>
                <w:b/>
                <w:bCs/>
                <w:color w:val="000000" w:themeColor="text1"/>
                <w:sz w:val="24"/>
                <w:szCs w:val="24"/>
                <w:highlight w:val="none"/>
                <w14:textFill>
                  <w14:solidFill>
                    <w14:schemeClr w14:val="tx1"/>
                  </w14:solidFill>
                </w14:textFill>
              </w:rPr>
              <w:t>建设内容。</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1.市</w:t>
            </w:r>
            <w:r>
              <w:rPr>
                <w:rFonts w:hint="default" w:ascii="Times New Roman" w:hAnsi="Times New Roman" w:eastAsia="方正仿宋_GBK" w:cs="方正仿宋_GBK"/>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县</w:t>
            </w:r>
            <w:r>
              <w:rPr>
                <w:rFonts w:hint="default" w:ascii="Times New Roman" w:hAnsi="Times New Roman" w:eastAsia="方正仿宋_GBK" w:cs="方正仿宋_GBK"/>
                <w:color w:val="000000" w:themeColor="text1"/>
                <w:sz w:val="24"/>
                <w:szCs w:val="24"/>
                <w:highlight w:val="none"/>
                <w:lang w:eastAsia="zh-CN"/>
                <w14:textFill>
                  <w14:solidFill>
                    <w14:schemeClr w14:val="tx1"/>
                  </w14:solidFill>
                </w14:textFill>
              </w:rPr>
              <w:t>区</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级应急广播云平台建设；2.</w:t>
            </w:r>
            <w:r>
              <w:rPr>
                <w:rFonts w:hint="default" w:ascii="Times New Roman" w:hAnsi="Times New Roman" w:eastAsia="方正仿宋_GBK" w:cs="方正仿宋_GBK"/>
                <w:color w:val="000000" w:themeColor="text1"/>
                <w:kern w:val="0"/>
                <w:sz w:val="28"/>
                <w:szCs w:val="28"/>
                <w:highlight w:val="none"/>
                <w14:textFill>
                  <w14:solidFill>
                    <w14:schemeClr w14:val="tx1"/>
                  </w14:solidFill>
                </w14:textFill>
              </w:rPr>
              <w:t>市、县区、镇</w:t>
            </w:r>
            <w:r>
              <w:rPr>
                <w:rFonts w:hint="default" w:ascii="Times New Roman" w:hAnsi="Times New Roman" w:eastAsia="方正仿宋_GBK" w:cs="方正仿宋_GBK"/>
                <w:color w:val="000000" w:themeColor="text1"/>
                <w:kern w:val="0"/>
                <w:sz w:val="28"/>
                <w:szCs w:val="28"/>
                <w:highlight w:val="none"/>
                <w:lang w:eastAsia="zh-CN"/>
                <w14:textFill>
                  <w14:solidFill>
                    <w14:schemeClr w14:val="tx1"/>
                  </w14:solidFill>
                </w14:textFill>
              </w:rPr>
              <w:t>（街道）</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级应急广播平台建设；3.行政村</w:t>
            </w:r>
            <w:r>
              <w:rPr>
                <w:rFonts w:hint="default" w:ascii="Times New Roman" w:hAnsi="Times New Roman" w:eastAsia="方正仿宋_GBK" w:cs="方正仿宋_GBK"/>
                <w:color w:val="000000" w:themeColor="text1"/>
                <w:kern w:val="0"/>
                <w:sz w:val="28"/>
                <w:szCs w:val="28"/>
                <w:highlight w:val="none"/>
                <w:lang w:eastAsia="zh-CN"/>
                <w14:textFill>
                  <w14:solidFill>
                    <w14:schemeClr w14:val="tx1"/>
                  </w14:solidFill>
                </w14:textFill>
              </w:rPr>
              <w:t>（社区）</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级终端建设，35户以上的大自然村、学校、景点、车站、码头、广场等人群密集处的村级终端建设；4.信号传输设备和传输网络连接；5.应急广播体系制度、牌匾、警示牌等制作和安装；6.</w:t>
            </w:r>
            <w:r>
              <w:rPr>
                <w:rFonts w:hint="default" w:ascii="Times New Roman" w:hAnsi="Times New Roman" w:eastAsia="方正仿宋_GBK" w:cs="方正仿宋_GBK"/>
                <w:color w:val="000000" w:themeColor="text1"/>
                <w:sz w:val="24"/>
                <w:szCs w:val="24"/>
                <w:highlight w:val="none"/>
                <w:lang w:eastAsia="zh-CN"/>
                <w14:textFill>
                  <w14:solidFill>
                    <w14:schemeClr w14:val="tx1"/>
                  </w14:solidFill>
                </w14:textFill>
              </w:rPr>
              <w:t>县</w:t>
            </w:r>
            <w:r>
              <w:rPr>
                <w:rFonts w:hint="default" w:ascii="Times New Roman" w:hAnsi="Times New Roman" w:eastAsia="方正仿宋_GBK" w:cs="方正仿宋_GBK"/>
                <w:color w:val="000000" w:themeColor="text1"/>
                <w:kern w:val="0"/>
                <w:sz w:val="28"/>
                <w:szCs w:val="28"/>
                <w:highlight w:val="none"/>
                <w14:textFill>
                  <w14:solidFill>
                    <w14:schemeClr w14:val="tx1"/>
                  </w14:solidFill>
                </w14:textFill>
              </w:rPr>
              <w:t>区、镇</w:t>
            </w:r>
            <w:r>
              <w:rPr>
                <w:rFonts w:hint="default" w:ascii="Times New Roman" w:hAnsi="Times New Roman" w:eastAsia="方正仿宋_GBK" w:cs="方正仿宋_GBK"/>
                <w:color w:val="000000" w:themeColor="text1"/>
                <w:kern w:val="0"/>
                <w:sz w:val="28"/>
                <w:szCs w:val="28"/>
                <w:highlight w:val="none"/>
                <w:lang w:eastAsia="zh-CN"/>
                <w14:textFill>
                  <w14:solidFill>
                    <w14:schemeClr w14:val="tx1"/>
                  </w14:solidFill>
                </w14:textFill>
              </w:rPr>
              <w:t>（街道）</w:t>
            </w:r>
            <w:r>
              <w:rPr>
                <w:rFonts w:hint="default" w:ascii="Times New Roman" w:hAnsi="Times New Roman" w:eastAsia="方正仿宋_GBK" w:cs="方正仿宋_GBK"/>
                <w:color w:val="000000" w:themeColor="text1"/>
                <w:kern w:val="0"/>
                <w:sz w:val="28"/>
                <w:szCs w:val="28"/>
                <w:highlight w:val="none"/>
                <w14:textFill>
                  <w14:solidFill>
                    <w14:schemeClr w14:val="tx1"/>
                  </w14:solidFill>
                </w14:textFill>
              </w:rPr>
              <w:t>、</w:t>
            </w:r>
            <w:r>
              <w:rPr>
                <w:rFonts w:hint="default" w:ascii="Times New Roman" w:hAnsi="Times New Roman" w:eastAsia="方正仿宋_GBK" w:cs="方正仿宋_GBK"/>
                <w:color w:val="000000" w:themeColor="text1"/>
                <w:kern w:val="0"/>
                <w:sz w:val="28"/>
                <w:szCs w:val="28"/>
                <w:highlight w:val="none"/>
                <w:lang w:eastAsia="zh-CN"/>
                <w14:textFill>
                  <w14:solidFill>
                    <w14:schemeClr w14:val="tx1"/>
                  </w14:solidFill>
                </w14:textFill>
              </w:rPr>
              <w:t>行政</w:t>
            </w:r>
            <w:r>
              <w:rPr>
                <w:rFonts w:hint="default" w:ascii="Times New Roman" w:hAnsi="Times New Roman" w:eastAsia="方正仿宋_GBK" w:cs="方正仿宋_GBK"/>
                <w:color w:val="000000" w:themeColor="text1"/>
                <w:kern w:val="0"/>
                <w:sz w:val="28"/>
                <w:szCs w:val="28"/>
                <w:highlight w:val="none"/>
                <w14:textFill>
                  <w14:solidFill>
                    <w14:schemeClr w14:val="tx1"/>
                  </w14:solidFill>
                </w14:textFill>
              </w:rPr>
              <w:t>村</w:t>
            </w:r>
            <w:r>
              <w:rPr>
                <w:rFonts w:hint="default" w:ascii="Times New Roman" w:hAnsi="Times New Roman" w:eastAsia="方正仿宋_GBK" w:cs="方正仿宋_GBK"/>
                <w:color w:val="000000" w:themeColor="text1"/>
                <w:kern w:val="0"/>
                <w:sz w:val="28"/>
                <w:szCs w:val="28"/>
                <w:highlight w:val="none"/>
                <w:lang w:eastAsia="zh-CN"/>
                <w14:textFill>
                  <w14:solidFill>
                    <w14:schemeClr w14:val="tx1"/>
                  </w14:solidFill>
                </w14:textFill>
              </w:rPr>
              <w:t>（社区）</w:t>
            </w:r>
            <w:r>
              <w:rPr>
                <w:rFonts w:hint="default" w:ascii="Times New Roman" w:hAnsi="Times New Roman" w:eastAsia="方正仿宋_GBK" w:cs="方正仿宋_GBK"/>
                <w:color w:val="000000" w:themeColor="text1"/>
                <w:sz w:val="24"/>
                <w:szCs w:val="24"/>
                <w:highlight w:val="none"/>
                <w14:textFill>
                  <w14:solidFill>
                    <w14:schemeClr w14:val="tx1"/>
                  </w14:solidFill>
                </w14:textFill>
              </w:rPr>
              <w:t>各级平台使用培训和应急广播体系维护培训。</w:t>
            </w:r>
          </w:p>
        </w:tc>
      </w:tr>
    </w:tbl>
    <w:p>
      <w:pPr>
        <w:spacing w:line="540" w:lineRule="exact"/>
        <w:ind w:firstLine="643"/>
        <w:rPr>
          <w:rFonts w:hint="default" w:ascii="Times New Roman" w:hAnsi="Times New Roman" w:eastAsia="方正仿宋_GBK" w:cs="Times New Roman"/>
          <w:color w:val="000000" w:themeColor="text1"/>
          <w:w w:val="98"/>
          <w:kern w:val="0"/>
          <w:sz w:val="32"/>
          <w:szCs w:val="32"/>
          <w:highlight w:val="none"/>
          <w14:textFill>
            <w14:solidFill>
              <w14:schemeClr w14:val="tx1"/>
            </w14:solidFill>
          </w14:textFill>
        </w:rPr>
      </w:pPr>
      <w:r>
        <w:rPr>
          <w:rFonts w:hint="default" w:ascii="Times New Roman" w:hAnsi="Times New Roman" w:eastAsia="方正仿宋_GBK" w:cs="Times New Roman"/>
          <w:b/>
          <w:color w:val="000000" w:themeColor="text1"/>
          <w:w w:val="98"/>
          <w:sz w:val="32"/>
          <w:szCs w:val="32"/>
          <w:highlight w:val="none"/>
          <w14:textFill>
            <w14:solidFill>
              <w14:schemeClr w14:val="tx1"/>
            </w14:solidFill>
          </w14:textFill>
        </w:rPr>
        <w:t>推进智慧广电乡村建设。</w:t>
      </w:r>
      <w:r>
        <w:rPr>
          <w:rFonts w:hint="default" w:ascii="Times New Roman" w:hAnsi="Times New Roman" w:eastAsia="方正仿宋_GBK" w:cs="Times New Roman"/>
          <w:bCs/>
          <w:color w:val="000000" w:themeColor="text1"/>
          <w:w w:val="98"/>
          <w:sz w:val="32"/>
          <w:szCs w:val="32"/>
          <w:highlight w:val="none"/>
          <w14:textFill>
            <w14:solidFill>
              <w14:schemeClr w14:val="tx1"/>
            </w14:solidFill>
          </w14:textFill>
        </w:rPr>
        <w:t>积极对接自治区广电局</w:t>
      </w:r>
      <w:r>
        <w:rPr>
          <w:rFonts w:hint="eastAsia" w:ascii="Times New Roman" w:hAnsi="Times New Roman" w:eastAsia="方正仿宋_GBK" w:cs="Times New Roman"/>
          <w:bCs/>
          <w:color w:val="000000" w:themeColor="text1"/>
          <w:w w:val="98"/>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w w:val="98"/>
          <w:sz w:val="32"/>
          <w:szCs w:val="32"/>
          <w:highlight w:val="none"/>
          <w14:textFill>
            <w14:solidFill>
              <w14:schemeClr w14:val="tx1"/>
            </w14:solidFill>
          </w14:textFill>
        </w:rPr>
        <w:t>智慧广电乡村建设工程</w:t>
      </w:r>
      <w:r>
        <w:rPr>
          <w:rFonts w:hint="eastAsia" w:ascii="Times New Roman" w:hAnsi="Times New Roman" w:eastAsia="方正仿宋_GBK" w:cs="Times New Roman"/>
          <w:bCs/>
          <w:color w:val="000000" w:themeColor="text1"/>
          <w:w w:val="98"/>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w w:val="98"/>
          <w:sz w:val="32"/>
          <w:szCs w:val="32"/>
          <w:highlight w:val="none"/>
          <w14:textFill>
            <w14:solidFill>
              <w14:schemeClr w14:val="tx1"/>
            </w14:solidFill>
          </w14:textFill>
        </w:rPr>
        <w:t>，因地制宜推动智慧广电全媒体信息室（站）标准化建设，深入推进智慧广电党建云、高清视频会议系统融合推广，开展</w:t>
      </w:r>
      <w:r>
        <w:rPr>
          <w:rFonts w:hint="eastAsia" w:ascii="Times New Roman" w:hAnsi="Times New Roman" w:eastAsia="方正仿宋_GBK" w:cs="Times New Roman"/>
          <w:bCs/>
          <w:color w:val="000000" w:themeColor="text1"/>
          <w:w w:val="98"/>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w w:val="98"/>
          <w:sz w:val="32"/>
          <w:szCs w:val="32"/>
          <w:highlight w:val="none"/>
          <w14:textFill>
            <w14:solidFill>
              <w14:schemeClr w14:val="tx1"/>
            </w14:solidFill>
          </w14:textFill>
        </w:rPr>
        <w:t>感党恩</w:t>
      </w:r>
      <w:r>
        <w:rPr>
          <w:rFonts w:hint="eastAsia" w:ascii="汉仪大黑简" w:hAnsi="汉仪大黑简" w:eastAsia="汉仪大黑简" w:cs="汉仪大黑简"/>
          <w:bCs/>
          <w:color w:val="000000" w:themeColor="text1"/>
          <w:w w:val="98"/>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w w:val="98"/>
          <w:sz w:val="32"/>
          <w:szCs w:val="32"/>
          <w:highlight w:val="none"/>
          <w14:textFill>
            <w14:solidFill>
              <w14:schemeClr w14:val="tx1"/>
            </w14:solidFill>
          </w14:textFill>
        </w:rPr>
        <w:t>跟党走－</w:t>
      </w:r>
      <w:r>
        <w:rPr>
          <w:rFonts w:hint="eastAsia" w:ascii="方正仿宋_GBK" w:hAnsi="方正仿宋_GBK" w:eastAsia="方正仿宋_GBK" w:cs="方正仿宋_GBK"/>
          <w:bCs/>
          <w:color w:val="000000" w:themeColor="text1"/>
          <w:w w:val="98"/>
          <w:sz w:val="32"/>
          <w:szCs w:val="32"/>
          <w:highlight w:val="none"/>
          <w14:textFill>
            <w14:solidFill>
              <w14:schemeClr w14:val="tx1"/>
            </w14:solidFill>
          </w14:textFill>
        </w:rPr>
        <w:t>‘壮美广西·智慧广电’</w:t>
      </w:r>
      <w:r>
        <w:rPr>
          <w:rFonts w:hint="default" w:ascii="Times New Roman" w:hAnsi="Times New Roman" w:eastAsia="方正仿宋_GBK" w:cs="Times New Roman"/>
          <w:bCs/>
          <w:color w:val="000000" w:themeColor="text1"/>
          <w:w w:val="98"/>
          <w:sz w:val="32"/>
          <w:szCs w:val="32"/>
          <w:highlight w:val="none"/>
          <w14:textFill>
            <w14:solidFill>
              <w14:schemeClr w14:val="tx1"/>
            </w14:solidFill>
          </w14:textFill>
        </w:rPr>
        <w:t>乡村振兴</w:t>
      </w:r>
      <w:r>
        <w:rPr>
          <w:rFonts w:hint="eastAsia" w:ascii="Times New Roman" w:hAnsi="Times New Roman" w:eastAsia="方正仿宋_GBK" w:cs="Times New Roman"/>
          <w:bCs/>
          <w:color w:val="000000" w:themeColor="text1"/>
          <w:w w:val="98"/>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w w:val="98"/>
          <w:sz w:val="32"/>
          <w:szCs w:val="32"/>
          <w:highlight w:val="none"/>
          <w14:textFill>
            <w14:solidFill>
              <w14:schemeClr w14:val="tx1"/>
            </w14:solidFill>
          </w14:textFill>
        </w:rPr>
        <w:t>活动。持续推进智慧广电服务进村入户，不断扩大有效入网率和用户规模，力争实现有条件的35户以上自然村光缆联网，形成覆盖城乡、便捷高效、功能完备、服务到户的新型广播电视覆盖服务体系</w:t>
      </w:r>
      <w:r>
        <w:rPr>
          <w:rFonts w:hint="default" w:ascii="Times New Roman" w:hAnsi="Times New Roman" w:eastAsia="方正仿宋_GBK" w:cs="Times New Roman"/>
          <w:color w:val="000000" w:themeColor="text1"/>
          <w:w w:val="98"/>
          <w:kern w:val="0"/>
          <w:sz w:val="32"/>
          <w:szCs w:val="32"/>
          <w:highlight w:val="none"/>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完善基层公共服务网络建设管理。</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坚持建设与管理并重，建立健全广播电视运行维护体系，重点完善直接面向群众的服务网络。加快镇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服务网点建设，设立镇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广播电视站，条件不足的，可依托镇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（街道）、行政村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村</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（社区）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公共服务中心，重点推进购买有线电视镇</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（街道）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网点服务，为群众提供村村通、户户通、村村响、应急广播、有线电视和地面数字电视的维修维护，并根据有关规定承接直播卫星等广播电视接收设备专营服务。因地制宜建立完善村级服务网络，确保村组有村级代办点或专人负责。</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促进公共服务承载网络转型升级。</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移动优先，一体推动有线电视网络整合与广电5G发展，促进公共服务数字化、高清化、网络化、智能化、移动化，推动由户户通向人人通、移动通、终端通转变。推动各级网络公司成为重要的公共服务主体，进一步发挥有线电视的公共服务潜力和作用，赋能公共服务转型升级，推动有线无线、广播通信、大屏小屏协同发展，提升公共服务智能化管理水平。</w:t>
      </w:r>
    </w:p>
    <w:p>
      <w:pPr>
        <w:spacing w:line="540" w:lineRule="exact"/>
        <w:ind w:firstLine="643"/>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推进城乡融合广电公共服务均等化发展。</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贯彻乡村振兴战略，结合城乡融合发展试验区建设，坚持农村发展优先，巩固无线和卫星覆盖成果，发挥有线电视网络优势，推动城乡公共服务协调发展。扩大直播卫星户户通成果，建立直播卫星公共服务管理平台，争取扩容提质，增加高清电视节目，探索开展增值业务，大力提升有线电视网络乡村通达率，以城乡基础设施一体化带动公共服务均等化。</w:t>
      </w:r>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打造文明实践智慧云平台。</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建好用好智慧云平台，运用</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两微一端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、公共数字文化服务、党员远程教育等载体，通过数字电视、中心大屏、手机、电脑、触摸屏、户外大屏和应急广播终端组成</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一云六屏一播</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，实现文明实践工作网上网下同步、线上线下互动，进一步发挥新时代文明实践中心（所、站）服务百姓、服务基层的作用。</w:t>
      </w:r>
    </w:p>
    <w:p>
      <w:pPr>
        <w:pStyle w:val="5"/>
        <w:keepNext w:val="0"/>
        <w:keepLines w:val="0"/>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67" w:name="_Toc27279"/>
      <w:bookmarkStart w:id="668" w:name="_Toc85051027"/>
      <w:bookmarkStart w:id="669" w:name="_Toc85206570"/>
      <w:bookmarkStart w:id="670" w:name="_Toc26202"/>
      <w:bookmarkStart w:id="671" w:name="_Toc84945382"/>
      <w:bookmarkStart w:id="672" w:name="_Toc85183135"/>
      <w:bookmarkStart w:id="673" w:name="_Toc1311445818"/>
      <w:bookmarkStart w:id="674" w:name="_Toc480660755"/>
      <w:bookmarkStart w:id="675" w:name="_Toc1293500846"/>
      <w:bookmarkStart w:id="676" w:name="_Toc924710470"/>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（四）推进广播电视安全保障管理体系建设</w:t>
      </w:r>
      <w:bookmarkEnd w:id="667"/>
      <w:bookmarkEnd w:id="668"/>
      <w:bookmarkEnd w:id="669"/>
      <w:bookmarkEnd w:id="670"/>
      <w:bookmarkEnd w:id="671"/>
      <w:bookmarkEnd w:id="672"/>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73"/>
      <w:bookmarkEnd w:id="674"/>
      <w:bookmarkEnd w:id="675"/>
      <w:bookmarkEnd w:id="676"/>
    </w:p>
    <w:p>
      <w:pPr>
        <w:keepNext w:val="0"/>
        <w:keepLines w:val="0"/>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推进依法督查管理。</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法全面履行政府职能，加强权责清单规范化建设。指导媒体依法宣传报道，规范媒体对案件的报道，防止舆论影响司法公正，建立良好的舆论应对机制，及时处理社会焦点问题，推动全社会树立法治意识，营造理性的舆论氛围。</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全面提升安全保障措施。</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安全与发展并重并举，主动适应、积极应对新技术、新应用、新业态、新服务带来的安全风险和隐患，明确智慧广电安全边界，持续推动网络安全等级保护、风险评估、商用密码应用等安全保障工作，确保导向正确、渠道畅通。鼓励与市内外高校科研院所、知名安全厂商进行合作，提升全市广播电视网络安全保障水平。</w:t>
      </w:r>
    </w:p>
    <w:p>
      <w:pPr>
        <w:spacing w:line="540" w:lineRule="exact"/>
        <w:ind w:firstLine="643"/>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不断强化广电监管措施。</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推动全市广播电视监管手段向网络化、智能化、协同化发展，加大对广播电视频道的监测和对节目的监听监看力度，加强对辖区内移动端应用程序、短视频、网络直播等网络视听节目内容的监测监管。</w:t>
      </w:r>
    </w:p>
    <w:p>
      <w:pPr>
        <w:pStyle w:val="4"/>
        <w:pageBreakBefore w:val="0"/>
        <w:kinsoku/>
        <w:wordWrap/>
        <w:overflowPunct/>
        <w:topLinePunct w:val="0"/>
        <w:autoSpaceDE/>
        <w:autoSpaceDN/>
        <w:bidi w:val="0"/>
        <w:adjustRightInd/>
        <w:snapToGrid/>
        <w:spacing w:before="0" w:after="0" w:line="52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677" w:name="_Toc938883232"/>
      <w:bookmarkStart w:id="678" w:name="_Toc19593"/>
      <w:bookmarkStart w:id="679" w:name="_Toc1885338630"/>
      <w:bookmarkStart w:id="680" w:name="_Toc84945383"/>
      <w:bookmarkStart w:id="681" w:name="_Toc373557997"/>
      <w:bookmarkStart w:id="682" w:name="_Toc1260606999"/>
      <w:r>
        <w:rPr>
          <w:rFonts w:hint="default" w:ascii="Times New Roman" w:hAnsi="Times New Roman" w:eastAsia="方正黑体_GBK" w:cs="Times New Roman"/>
          <w:b w:val="0"/>
          <w:bCs w:val="0"/>
          <w:color w:val="000000" w:themeColor="text1"/>
          <w:highlight w:val="none"/>
          <w14:textFill>
            <w14:solidFill>
              <w14:schemeClr w14:val="tx1"/>
            </w14:solidFill>
          </w14:textFill>
        </w:rPr>
        <w:t>八、统筹推动新时代体育高质量发展</w:t>
      </w:r>
      <w:bookmarkEnd w:id="677"/>
      <w:bookmarkEnd w:id="678"/>
      <w:bookmarkEnd w:id="679"/>
      <w:bookmarkEnd w:id="680"/>
      <w:bookmarkEnd w:id="681"/>
      <w:bookmarkEnd w:id="682"/>
    </w:p>
    <w:p>
      <w:pPr>
        <w:pStyle w:val="5"/>
        <w:pageBreakBefore w:val="0"/>
        <w:kinsoku/>
        <w:wordWrap/>
        <w:overflowPunct/>
        <w:topLinePunct w:val="0"/>
        <w:autoSpaceDE/>
        <w:autoSpaceDN/>
        <w:bidi w:val="0"/>
        <w:adjustRightInd/>
        <w:snapToGrid/>
        <w:spacing w:before="0" w:after="0" w:line="52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83" w:name="_Toc24746"/>
      <w:bookmarkStart w:id="684" w:name="_Toc85051029"/>
      <w:bookmarkStart w:id="685" w:name="_Toc12938"/>
      <w:bookmarkStart w:id="686" w:name="_Toc85206572"/>
      <w:bookmarkStart w:id="687" w:name="_Toc85183137"/>
      <w:bookmarkStart w:id="688" w:name="_Toc84945384"/>
      <w:bookmarkStart w:id="689" w:name="_Toc1683727361"/>
      <w:bookmarkStart w:id="690" w:name="_Toc758684789"/>
      <w:bookmarkStart w:id="691" w:name="_Toc931668586"/>
      <w:bookmarkStart w:id="692" w:name="_Toc331214356"/>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（一）提升群众体育的吸引力</w:t>
      </w:r>
      <w:bookmarkEnd w:id="683"/>
      <w:bookmarkEnd w:id="684"/>
      <w:bookmarkEnd w:id="685"/>
      <w:bookmarkEnd w:id="686"/>
      <w:bookmarkEnd w:id="687"/>
      <w:bookmarkEnd w:id="688"/>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89"/>
      <w:bookmarkEnd w:id="690"/>
      <w:bookmarkEnd w:id="691"/>
      <w:bookmarkEnd w:id="692"/>
    </w:p>
    <w:p>
      <w:pPr>
        <w:keepNext/>
        <w:keepLines/>
        <w:pageBreakBefore w:val="0"/>
        <w:kinsoku/>
        <w:wordWrap/>
        <w:overflowPunct/>
        <w:topLinePunct w:val="0"/>
        <w:autoSpaceDE/>
        <w:autoSpaceDN/>
        <w:bidi w:val="0"/>
        <w:adjustRightInd/>
        <w:snapToGrid/>
        <w:spacing w:line="520" w:lineRule="exact"/>
        <w:ind w:firstLine="643"/>
        <w:textAlignment w:val="auto"/>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1</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构建全民健身服务体系</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2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健全公共体育服务体系。</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优化全民健身公共服务资源配置，加大城乡全民健身公共服务建设力度，逐步实现充分供给、均衡发展。促进全民健身公共服务体系标准化建设，推动基本公共体育服务在地区、城乡、行业和人群间的均等化。</w:t>
      </w:r>
    </w:p>
    <w:p>
      <w:pPr>
        <w:pageBreakBefore w:val="0"/>
        <w:kinsoku/>
        <w:wordWrap/>
        <w:overflowPunct/>
        <w:topLinePunct w:val="0"/>
        <w:autoSpaceDE/>
        <w:autoSpaceDN/>
        <w:bidi w:val="0"/>
        <w:adjustRightInd/>
        <w:snapToGrid/>
        <w:spacing w:line="52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创新公共体育服务机制。</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探索和创新公共体育服务方式，大力开展公益性体育活动，加快建设水平较高、内容完备、惠及全民的基本公共体育服务体系。整合利用现有城乡体育公共设施，统筹城乡公共体育设施布局，均衡配置公共体育资源，实现农村、城市社区公共体育服务资源整合和互联互通。</w:t>
      </w:r>
    </w:p>
    <w:p>
      <w:pPr>
        <w:pageBreakBefore w:val="0"/>
        <w:kinsoku/>
        <w:wordWrap/>
        <w:overflowPunct/>
        <w:topLinePunct w:val="0"/>
        <w:autoSpaceDE/>
        <w:autoSpaceDN/>
        <w:bidi w:val="0"/>
        <w:adjustRightInd/>
        <w:snapToGrid/>
        <w:spacing w:line="52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推进全民健身智慧化发展。</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运用互联网、云计算等新信息技术，促进体育场馆活动预订、赛事信息发布、经营服务统计等整合应用，推进智慧健身路径、智慧健身步道、智慧体育公园建设。积极推进智慧社区健身中心、二代室外健身器材等健身设施建设，将信息技术应用于体育设施建设和管理。鼓励和引导社会力量建设一批智能健身房。</w:t>
      </w:r>
    </w:p>
    <w:p>
      <w:pPr>
        <w:keepNext/>
        <w:keepLines/>
        <w:pageBreakBefore w:val="0"/>
        <w:kinsoku/>
        <w:wordWrap/>
        <w:overflowPunct/>
        <w:topLinePunct w:val="0"/>
        <w:autoSpaceDE/>
        <w:autoSpaceDN/>
        <w:bidi w:val="0"/>
        <w:adjustRightInd/>
        <w:snapToGrid/>
        <w:spacing w:line="520" w:lineRule="exact"/>
        <w:ind w:firstLine="643"/>
        <w:textAlignment w:val="auto"/>
        <w:outlineLvl w:val="3"/>
        <w:rPr>
          <w:rFonts w:hint="default" w:ascii="Times New Roman" w:hAnsi="Times New Roman" w:eastAsia="方正仿宋_GBK" w:cs="Times New Roman"/>
          <w:b/>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2</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开展丰富多彩的赛事活动。</w:t>
      </w:r>
    </w:p>
    <w:p>
      <w:pPr>
        <w:pageBreakBefore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提高群众健身意识，支持、鼓励和引导全民参与体育锻炼。发展群众喜闻乐见的健身运动项目，传承推广民族传统体育项目，开发适合不同人群、不同地域特点的特色运动项目，因地制宜开展各类户外体育活动。支持社会力量举办、承办群众体育赛事活动，组织举办2021年钦州市第七届运动会和2025年钦州市第八届运动会。</w:t>
      </w:r>
    </w:p>
    <w:tbl>
      <w:tblPr>
        <w:tblStyle w:val="25"/>
        <w:tblpPr w:leftFromText="180" w:rightFromText="180" w:vertAnchor="text" w:horzAnchor="page" w:tblpX="1755" w:tblpY="184"/>
        <w:tblOverlap w:val="never"/>
        <w:tblW w:w="8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803" w:type="dxa"/>
          </w:tcPr>
          <w:p>
            <w:pPr>
              <w:spacing w:line="360" w:lineRule="auto"/>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专栏4-8 群众体育重点项目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3" w:type="dxa"/>
          </w:tcPr>
          <w:p>
            <w:pPr>
              <w:spacing w:line="400" w:lineRule="exact"/>
              <w:ind w:firstLine="561"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灵山县：</w:t>
            </w:r>
            <w:r>
              <w:rPr>
                <w:rFonts w:hint="default" w:ascii="Times New Roman" w:hAnsi="Times New Roman" w:eastAsia="方正仿宋_GBK" w:cs="Times New Roman"/>
                <w:bCs/>
                <w:color w:val="000000" w:themeColor="text1"/>
                <w:sz w:val="24"/>
                <w:szCs w:val="24"/>
                <w:highlight w:val="none"/>
                <w14:textFill>
                  <w14:solidFill>
                    <w14:schemeClr w14:val="tx1"/>
                  </w14:solidFill>
                </w14:textFill>
              </w:rPr>
              <w:t>环六峰山健步跑、灵山荔枝文化旅游节欢乐跑、灵山国际半程马拉松赛。</w:t>
            </w:r>
          </w:p>
          <w:p>
            <w:pPr>
              <w:spacing w:line="400" w:lineRule="exact"/>
              <w:ind w:firstLine="561" w:firstLineChars="0"/>
              <w:rPr>
                <w:rFonts w:hint="default" w:ascii="Times New Roman" w:hAnsi="Times New Roman" w:eastAsia="方正仿宋_GBK" w:cs="Times New Roman"/>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浦北县：</w:t>
            </w:r>
            <w:r>
              <w:rPr>
                <w:rFonts w:hint="default" w:ascii="Times New Roman" w:hAnsi="Times New Roman" w:eastAsia="方正仿宋_GBK" w:cs="Times New Roman"/>
                <w:bCs/>
                <w:color w:val="000000" w:themeColor="text1"/>
                <w:sz w:val="24"/>
                <w:szCs w:val="24"/>
                <w:highlight w:val="none"/>
                <w14:textFill>
                  <w14:solidFill>
                    <w14:schemeClr w14:val="tx1"/>
                  </w14:solidFill>
                </w14:textFill>
              </w:rPr>
              <w:t>六万山、五皇山健身登山跑、越州寿仙湖绿道自行车暨慢跑趣味赛。</w:t>
            </w:r>
          </w:p>
          <w:p>
            <w:pPr>
              <w:spacing w:line="400" w:lineRule="exact"/>
              <w:ind w:firstLine="561" w:firstLineChars="0"/>
              <w:rPr>
                <w:rFonts w:hint="default" w:ascii="Times New Roman" w:hAnsi="Times New Roman" w:eastAsia="方正仿宋_GBK" w:cs="Times New Roman"/>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钦南区：</w:t>
            </w:r>
            <w:r>
              <w:rPr>
                <w:rFonts w:hint="default" w:ascii="Times New Roman" w:hAnsi="Times New Roman" w:eastAsia="方正仿宋_GBK" w:cs="Times New Roman"/>
                <w:bCs/>
                <w:color w:val="000000" w:themeColor="text1"/>
                <w:sz w:val="24"/>
                <w:szCs w:val="24"/>
                <w:highlight w:val="none"/>
                <w14:textFill>
                  <w14:solidFill>
                    <w14:schemeClr w14:val="tx1"/>
                  </w14:solidFill>
                </w14:textFill>
              </w:rPr>
              <w:t>钦州老街城市定向挑战赛、体育舞蹈大赛、</w:t>
            </w: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方正仿宋_GBK" w:cs="Times New Roman"/>
                <w:bCs/>
                <w:color w:val="000000" w:themeColor="text1"/>
                <w:sz w:val="24"/>
                <w:szCs w:val="24"/>
                <w:highlight w:val="none"/>
                <w14:textFill>
                  <w14:solidFill>
                    <w14:schemeClr w14:val="tx1"/>
                  </w14:solidFill>
                </w14:textFill>
              </w:rPr>
              <w:t>那雾山登山节。</w:t>
            </w:r>
          </w:p>
          <w:p>
            <w:pPr>
              <w:spacing w:line="400" w:lineRule="exact"/>
              <w:ind w:firstLine="561"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钦北区：</w:t>
            </w:r>
            <w:r>
              <w:rPr>
                <w:rFonts w:hint="default" w:ascii="Times New Roman" w:hAnsi="Times New Roman" w:eastAsia="方正仿宋_GBK" w:cs="Times New Roman"/>
                <w:bCs/>
                <w:color w:val="000000" w:themeColor="text1"/>
                <w:sz w:val="24"/>
                <w:szCs w:val="24"/>
                <w:highlight w:val="none"/>
                <w14:textFill>
                  <w14:solidFill>
                    <w14:schemeClr w14:val="tx1"/>
                  </w14:solidFill>
                </w14:textFill>
              </w:rPr>
              <w:t>八寨沟登山跑、林湖森林公园休闲慢跑赛。</w:t>
            </w:r>
          </w:p>
        </w:tc>
      </w:tr>
    </w:tbl>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3</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24"/>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24"/>
          <w:highlight w:val="none"/>
          <w14:textFill>
            <w14:solidFill>
              <w14:schemeClr w14:val="tx1"/>
            </w14:solidFill>
          </w14:textFill>
        </w:rPr>
        <w:t>加强体育基础设施建设和管理</w:t>
      </w:r>
      <w:r>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推进全民健身设施建设。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建立健全重大体育项目库及其管理机制。政府主导、统筹资源，大力实施健康钦州体育惠民工程。加强开展大型全民健身中心、体育场、田径场、体育公园、游泳馆、健身步道、社区文体广场以及足球等运动项目的场地设施建设。充分利用临海资源优势，建设户外体育健身设施，结合体育休闲旅游开发，在沿水、沿路的地方建设体育公园、健身步道。在钦州海域范围建设沙滩足球、沙滩排球等沙滩球类项目和帆船、赛艇、摩托艇、游艇、漂移艇、皮划艇、冲浪、帆板、风筝板、海钓、潜水等水上运动项目，以及户外露营、攀岩、定向等运动项目设施，为群众提供丰富多彩的体育设施。</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优化城乡体育设施布局。</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编制城乡体育设施专项规划，增加体育用地，优化场地设施资源配置，全市人均体育场地面积达到2.6平方米以上。按照配置均衡、规模适当、方便实用、安全合理的原则，科学规划、统筹建设公共体育场地设施，构建县区、镇（街道）、行政村（社区）群众身边的公共体育场地设施网络和城乡15分钟健身圈。城市社区重点建设社区体育公园、社区多功能运动场、小型足球场、三人制篮球场、健身步道等公共体育场地设施。农村（社区）重点推动基层综合性文化体育服务中心、农村</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社区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综合服务设施建设，在有条件的行政村增配体育设施，增加建设灯光标准篮球场、中小型足球场、健身路径、健身步道等。</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优化公共体育场地设施使用和管理。</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进一步盘活存量资源，做好已建公共体育场地设施的使用和管理。完善公共体育场馆和学校体育场地设施开放政策。大力推动体育场馆设施开放，公共体育场地设施开放率达到100%。鼓励符合开放条件的学校、机关、企事业单位、民营体育场馆免费或低收费开放。促进公共体育场地设施拓展服务领域，延伸配套服务，提升服务水平。鼓励社会力量参与现有场地设施的管理运营。</w:t>
      </w:r>
    </w:p>
    <w:p>
      <w:pPr>
        <w:spacing w:line="240" w:lineRule="auto"/>
        <w:ind w:firstLine="420"/>
        <w:rPr>
          <w:rFonts w:ascii="Times New Roman" w:hAnsi="Times New Roman" w:eastAsia="黑体" w:cs="Times New Roman"/>
          <w:color w:val="000000" w:themeColor="text1"/>
          <w:sz w:val="21"/>
          <w:szCs w:val="24"/>
          <w:highlight w:val="none"/>
          <w14:textFill>
            <w14:solidFill>
              <w14:schemeClr w14:val="tx1"/>
            </w14:solidFill>
          </w14:textFill>
        </w:rPr>
      </w:pPr>
    </w:p>
    <w:tbl>
      <w:tblPr>
        <w:tblStyle w:val="25"/>
        <w:tblW w:w="90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9" w:type="dxa"/>
          </w:tcPr>
          <w:p>
            <w:pPr>
              <w:spacing w:line="360" w:lineRule="auto"/>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专栏4-9体育基础设施及体育公共服务项目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9" w:type="dxa"/>
          </w:tcPr>
          <w:p>
            <w:pPr>
              <w:spacing w:line="400" w:lineRule="exact"/>
              <w:ind w:firstLine="561"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提升体育基础设施。</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钦州一江两岸体育休闲公园、钦州市体育中心、一马路体育馆、灵山县体育中心，浦北县体育公园。</w:t>
            </w:r>
          </w:p>
          <w:p>
            <w:pPr>
              <w:spacing w:line="400" w:lineRule="exact"/>
              <w:ind w:firstLine="561"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强化体育公共服务项目建设。</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全市范围内增加建设休闲绿道、拆装式游泳池、笼式足篮球场、灯光标准篮球场、中小型足球场、健身路径等场地设施，建设城乡15分钟健身圈。</w:t>
            </w:r>
          </w:p>
        </w:tc>
      </w:tr>
    </w:tbl>
    <w:p>
      <w:pPr>
        <w:keepNext/>
        <w:keepLines/>
        <w:spacing w:line="540" w:lineRule="exact"/>
        <w:ind w:firstLine="643"/>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4</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释放体育社会组织活力</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激发社会力量创新发展体育。</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推动体育社会组织创新发展，完善体育社会组织网络。完善扶持引导政策和绩效评估制度，加大政府向体育社会组织购买服务力度，激发社会力量办体育的组织力和创造力。引导体育社会组织在服务行业发展、强化行业自律、维护行业秩序等方面发挥积极作用。</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推进体育社会组织自身建设。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建立和完善法</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人治理</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结</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构，引导体育社会组织向自生力强、行业影响力大的独立法人组织转变，提高体育社会组织承接全民健身服务能力。推进体育社会组织与行政部门脱钩，发挥体育社会组织办体育</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活动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的积极性。扶持项目普及广、社会影响大、服务能力强、作用明显的体育社会组织发展，发挥示范带动作用，支持建立体育社</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会组织培育孵化基地。</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693" w:name="_Toc85051030"/>
      <w:bookmarkStart w:id="694" w:name="_Toc85183138"/>
      <w:bookmarkStart w:id="695" w:name="_Toc85206573"/>
      <w:bookmarkStart w:id="696" w:name="_Toc84945385"/>
      <w:bookmarkStart w:id="697" w:name="_Toc28565"/>
      <w:bookmarkStart w:id="698" w:name="_Toc8811"/>
      <w:bookmarkStart w:id="699" w:name="_Toc1708059228"/>
      <w:bookmarkStart w:id="700" w:name="_Toc1686249559"/>
      <w:bookmarkStart w:id="701" w:name="_Toc1418935773"/>
      <w:bookmarkStart w:id="702" w:name="_Toc1054965393"/>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（二）推动竞技体育项目协调发展</w:t>
      </w:r>
      <w:bookmarkEnd w:id="693"/>
      <w:bookmarkEnd w:id="694"/>
      <w:bookmarkEnd w:id="695"/>
      <w:bookmarkEnd w:id="696"/>
      <w:bookmarkEnd w:id="697"/>
      <w:bookmarkEnd w:id="698"/>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699"/>
      <w:bookmarkEnd w:id="700"/>
      <w:bookmarkEnd w:id="701"/>
      <w:bookmarkEnd w:id="702"/>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1</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强化竞技体育优势</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shd w:val="clear" w:color="auto" w:fill="FFFFFF"/>
          <w14:textFill>
            <w14:solidFill>
              <w14:schemeClr w14:val="tx1"/>
            </w14:solidFill>
          </w14:textFill>
        </w:rPr>
        <w:t>完善竞技体育保障机制。</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建立决策科学、运转高效、信息畅通、分工明确、措施完善、保障有力的组织管理体系和工作机制，创新竞技体育激励保障机制，进一步完善</w:t>
      </w:r>
      <w:r>
        <w:rPr>
          <w:rFonts w:hint="default" w:ascii="Times New Roman" w:hAnsi="Times New Roman" w:eastAsia="方正仿宋_GBK" w:cs="Times New Roman"/>
          <w:color w:val="000000" w:themeColor="text1"/>
          <w:sz w:val="32"/>
          <w:szCs w:val="32"/>
          <w:highlight w:val="none"/>
          <w:shd w:val="clear" w:color="auto" w:fill="FFFFFF"/>
          <w:lang w:eastAsia="zh-CN"/>
          <w14:textFill>
            <w14:solidFill>
              <w14:schemeClr w14:val="tx1"/>
            </w14:solidFill>
          </w14:textFill>
        </w:rPr>
        <w:t>全</w:t>
      </w:r>
      <w:r>
        <w:rPr>
          <w:rFonts w:hint="default" w:ascii="Times New Roman" w:hAnsi="Times New Roman" w:eastAsia="方正仿宋_GBK" w:cs="Times New Roman"/>
          <w:color w:val="000000" w:themeColor="text1"/>
          <w:sz w:val="32"/>
          <w:szCs w:val="32"/>
          <w:highlight w:val="none"/>
          <w:shd w:val="clear" w:color="auto" w:fill="FFFFFF"/>
          <w14:textFill>
            <w14:solidFill>
              <w14:schemeClr w14:val="tx1"/>
            </w14:solidFill>
          </w14:textFill>
        </w:rPr>
        <w:t>市竞技体育管理制度，完善青少年竞技体育强队、强项、强人的体制机制，激励运动员、教练员在区内外重大体育比赛中取得优异成绩，为国家培养输送更多优秀体育后备人才。</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强化竞技体育人才培养。</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高度重视教练及体育专业管理人才队伍的建设，进一步健全完善科学规范的人才培养机制，拓宽后备人才培养渠道。改革和完善运动员、教练员选拔任用培训机制，积极探索体制外体育人才使用模式，进一步增强竞技体育事业发展的整体实力。</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加强优势体育项目训练。</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提升业余训练质量，加强教练员、运动员的科学管理，以制度促项目发展，巩固举重、跳水、蹦床、射击、田径、乒乓球、射箭、帆板、足球、武术、散打等优势项目训练，新增摔跤、拳击、水球、手球、轮滑等项目训练。</w:t>
      </w:r>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2</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推动体教融合发展</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实施青少年体育强基行动。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筑牢青少年健康和体育后备人才基础，不断提升全市青少年体质健康水平，促进青少年身心健康全面发展。大力关注体育教育，完善全市学校体育设施建设，严格按要求安排实施中小学体育课程，保证学生身体锻炼时间，严防不按照要求开设体育课和侵占时间、应付了事等现象，确保青少年德智体全面发展。</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加强新型体校建设。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贯彻落实各级有关学校体育、运动员文化教育的政策法规，推动各体校与当地普通小学、中学共建联办，建设体教融合的新型体校。加强钦州市业余体育学校建设，发挥其在青少年、儿童竞技训练的龙头带动作用。将公办体校建设纳入当地教育发展规划，全面落实教育经费，改善师资和办学条件；完善体校教练员与文化课教师岗位均衡激励考核机制。到2025年，实现各县区均建有1所二集中或三集中式的标准体校。将市业余体校建成示范性体校，完善与市高新区实验学校共建机制，打造典型合作模式。</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加强青少年体育组织和队伍建设。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加大运动员选材输送力度，巩固后备人才基础。完善青少年体育后备人才培养体系，加大科学选材力度，做好后备人才输送工作，加强与上级运动队沟通对接，争取每年向上级运动队输送20名以上后备人才。推进竞技体育综合实力稳步提高，加强科学训练管理，参加全区运动会成绩取得突破。全市青少年体育后备人才队伍保持在 2000人以上。</w:t>
      </w:r>
    </w:p>
    <w:p>
      <w:pPr>
        <w:spacing w:line="240" w:lineRule="auto"/>
        <w:ind w:firstLine="420"/>
        <w:rPr>
          <w:rFonts w:ascii="Times New Roman" w:hAnsi="Times New Roman" w:eastAsia="黑体" w:cs="Times New Roman"/>
          <w:color w:val="000000" w:themeColor="text1"/>
          <w:sz w:val="21"/>
          <w:szCs w:val="24"/>
          <w:highlight w:val="none"/>
          <w14:textFill>
            <w14:solidFill>
              <w14:schemeClr w14:val="tx1"/>
            </w14:solidFill>
          </w14:textFill>
        </w:rPr>
      </w:pPr>
    </w:p>
    <w:tbl>
      <w:tblPr>
        <w:tblStyle w:val="25"/>
        <w:tblW w:w="887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spacing w:line="360" w:lineRule="auto"/>
              <w:ind w:firstLine="0" w:firstLineChars="0"/>
              <w:jc w:val="center"/>
              <w:rPr>
                <w:rFonts w:hint="default" w:ascii="Times New Roman" w:hAnsi="Times New Roman" w:eastAsia="方正仿宋_GBK" w:cs="Times New Roman"/>
                <w:b/>
                <w:bCs/>
                <w:color w:val="000000" w:themeColor="text1"/>
                <w:szCs w:val="28"/>
                <w:highlight w:val="none"/>
                <w14:textFill>
                  <w14:solidFill>
                    <w14:schemeClr w14:val="tx1"/>
                  </w14:solidFill>
                </w14:textFill>
              </w:rPr>
            </w:pPr>
            <w:r>
              <w:rPr>
                <w:rFonts w:hint="default" w:ascii="Times New Roman" w:hAnsi="Times New Roman" w:eastAsia="方正仿宋_GBK" w:cs="Times New Roman"/>
                <w:b/>
                <w:bCs/>
                <w:color w:val="000000" w:themeColor="text1"/>
                <w:szCs w:val="28"/>
                <w:highlight w:val="none"/>
                <w14:textFill>
                  <w14:solidFill>
                    <w14:schemeClr w14:val="tx1"/>
                  </w14:solidFill>
                </w14:textFill>
              </w:rPr>
              <w:t>专栏4-10 竞技体育及体教融合重点项目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tcPr>
          <w:p>
            <w:pPr>
              <w:spacing w:line="400" w:lineRule="exact"/>
              <w:ind w:firstLine="561" w:firstLineChars="0"/>
              <w:rPr>
                <w:rFonts w:hint="default" w:ascii="Times New Roman" w:hAnsi="Times New Roman" w:eastAsia="方正仿宋_GBK" w:cs="Times New Roman"/>
                <w:color w:val="000000" w:themeColor="text1"/>
                <w:szCs w:val="28"/>
                <w:highlight w:val="none"/>
                <w14:textFill>
                  <w14:solidFill>
                    <w14:schemeClr w14:val="tx1"/>
                  </w14:solidFill>
                </w14:textFill>
              </w:rPr>
            </w:pPr>
            <w:r>
              <w:rPr>
                <w:rFonts w:hint="default" w:ascii="Times New Roman" w:hAnsi="Times New Roman" w:eastAsia="方正仿宋_GBK" w:cs="Times New Roman"/>
                <w:b/>
                <w:bCs/>
                <w:color w:val="000000" w:themeColor="text1"/>
                <w:szCs w:val="28"/>
                <w:highlight w:val="none"/>
                <w14:textFill>
                  <w14:solidFill>
                    <w14:schemeClr w14:val="tx1"/>
                  </w14:solidFill>
                </w14:textFill>
              </w:rPr>
              <w:t>体校建设项目。</w:t>
            </w:r>
            <w:r>
              <w:rPr>
                <w:rFonts w:hint="default" w:ascii="Times New Roman" w:hAnsi="Times New Roman" w:eastAsia="方正仿宋_GBK" w:cs="Times New Roman"/>
                <w:color w:val="000000" w:themeColor="text1"/>
                <w:szCs w:val="28"/>
                <w:highlight w:val="none"/>
                <w14:textFill>
                  <w14:solidFill>
                    <w14:schemeClr w14:val="tx1"/>
                  </w14:solidFill>
                </w14:textFill>
              </w:rPr>
              <w:t>钦州市业余体育学校体教融合</w:t>
            </w:r>
            <w:r>
              <w:rPr>
                <w:rFonts w:hint="default" w:ascii="Times New Roman" w:hAnsi="Times New Roman" w:eastAsia="方正仿宋_GBK" w:cs="Times New Roman"/>
                <w:color w:val="000000" w:themeColor="text1"/>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Cs w:val="28"/>
                <w:highlight w:val="none"/>
                <w14:textFill>
                  <w14:solidFill>
                    <w14:schemeClr w14:val="tx1"/>
                  </w14:solidFill>
                </w14:textFill>
              </w:rPr>
              <w:t>浦北体校竞技体育、灵山体校竞技体育、钦南体校竞技体育、钦北体校竞技体育提升</w:t>
            </w:r>
            <w:r>
              <w:rPr>
                <w:rFonts w:hint="default" w:ascii="Times New Roman" w:hAnsi="Times New Roman" w:eastAsia="方正仿宋_GBK" w:cs="Times New Roman"/>
                <w:color w:val="000000" w:themeColor="text1"/>
                <w:szCs w:val="28"/>
                <w:highlight w:val="none"/>
                <w:lang w:eastAsia="zh-CN"/>
                <w14:textFill>
                  <w14:solidFill>
                    <w14:schemeClr w14:val="tx1"/>
                  </w14:solidFill>
                </w14:textFill>
              </w:rPr>
              <w:t>项目</w:t>
            </w:r>
            <w:r>
              <w:rPr>
                <w:rFonts w:hint="default" w:ascii="Times New Roman" w:hAnsi="Times New Roman" w:eastAsia="方正仿宋_GBK" w:cs="Times New Roman"/>
                <w:color w:val="000000" w:themeColor="text1"/>
                <w:szCs w:val="28"/>
                <w:highlight w:val="none"/>
                <w14:textFill>
                  <w14:solidFill>
                    <w14:schemeClr w14:val="tx1"/>
                  </w14:solidFill>
                </w14:textFill>
              </w:rPr>
              <w:t>。</w:t>
            </w:r>
          </w:p>
          <w:p>
            <w:pPr>
              <w:spacing w:line="400" w:lineRule="exact"/>
              <w:ind w:firstLine="561" w:firstLineChars="0"/>
              <w:rPr>
                <w:rFonts w:hint="default" w:ascii="Times New Roman" w:hAnsi="Times New Roman" w:eastAsia="方正仿宋_GBK" w:cs="Times New Roman"/>
                <w:color w:val="000000" w:themeColor="text1"/>
                <w:szCs w:val="28"/>
                <w:highlight w:val="none"/>
                <w14:textFill>
                  <w14:solidFill>
                    <w14:schemeClr w14:val="tx1"/>
                  </w14:solidFill>
                </w14:textFill>
              </w:rPr>
            </w:pPr>
            <w:r>
              <w:rPr>
                <w:rFonts w:hint="default" w:ascii="Times New Roman" w:hAnsi="Times New Roman" w:eastAsia="方正仿宋_GBK" w:cs="Times New Roman"/>
                <w:b/>
                <w:bCs/>
                <w:color w:val="000000" w:themeColor="text1"/>
                <w:szCs w:val="28"/>
                <w:highlight w:val="none"/>
                <w14:textFill>
                  <w14:solidFill>
                    <w14:schemeClr w14:val="tx1"/>
                  </w14:solidFill>
                </w14:textFill>
              </w:rPr>
              <w:t>提升优势竞技体育项目。</w:t>
            </w:r>
            <w:r>
              <w:rPr>
                <w:rFonts w:hint="default" w:ascii="Times New Roman" w:hAnsi="Times New Roman" w:eastAsia="方正仿宋_GBK" w:cs="Times New Roman"/>
                <w:color w:val="000000" w:themeColor="text1"/>
                <w:szCs w:val="28"/>
                <w:highlight w:val="none"/>
                <w14:textFill>
                  <w14:solidFill>
                    <w14:schemeClr w14:val="tx1"/>
                  </w14:solidFill>
                </w14:textFill>
              </w:rPr>
              <w:t>巩固举重、跳水、蹦床、射击、田径、乒乓球、射箭、帆板、足球、武术、散打等优势项目训练。新增摔跤、拳击、水球、手球、轮滑等项目训练。</w:t>
            </w:r>
          </w:p>
        </w:tc>
      </w:tr>
    </w:tbl>
    <w:p>
      <w:pPr>
        <w:keepNext/>
        <w:keepLines/>
        <w:spacing w:line="540" w:lineRule="exact"/>
        <w:ind w:firstLine="643"/>
        <w:outlineLvl w:val="3"/>
        <w:rPr>
          <w:rFonts w:hint="default" w:ascii="Times New Roman" w:hAnsi="Times New Roman" w:eastAsia="方正仿宋_GBK" w:cs="Times New Roman"/>
          <w:b/>
          <w:color w:val="000000" w:themeColor="text1"/>
          <w:kern w:val="0"/>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3</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提升赛事筹办服务</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有序推进赛事保障工作。</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全面加强运动队科学训练、体能康复、服务保障等工作，提高运动队竞技水平，力争更多运动员入选自治区和国家队，在奥运会、冬奥会、亚运会、青奥会等国际性比赛中取得优异成绩。借助全国学生（青年）运动会、全运会的举办，做好市蹦床、跳水等项目的申报合作共建优秀运动队工作。根据运动会比赛项目布局，加快推进市体育中心体育馆、钦州沙滩排球训练基地两个比赛场馆场地的建设，全面规划部署做好承办比赛相关工作。</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703" w:name="_Toc85183139"/>
      <w:bookmarkStart w:id="704" w:name="_Toc11307"/>
      <w:bookmarkStart w:id="705" w:name="_Toc29361"/>
      <w:bookmarkStart w:id="706" w:name="_Toc85206574"/>
      <w:bookmarkStart w:id="707" w:name="_Toc85051031"/>
      <w:bookmarkStart w:id="708" w:name="_Toc84945386"/>
      <w:bookmarkStart w:id="709" w:name="_Toc1495196883"/>
      <w:bookmarkStart w:id="710" w:name="_Toc602439404"/>
      <w:bookmarkStart w:id="711" w:name="_Toc895299476"/>
      <w:bookmarkStart w:id="712" w:name="_Toc1665502275"/>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（三）促进体育产业融合发展</w:t>
      </w:r>
      <w:bookmarkEnd w:id="703"/>
      <w:bookmarkEnd w:id="704"/>
      <w:bookmarkEnd w:id="705"/>
      <w:bookmarkEnd w:id="706"/>
      <w:bookmarkEnd w:id="707"/>
      <w:bookmarkEnd w:id="708"/>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709"/>
      <w:bookmarkEnd w:id="710"/>
      <w:bookmarkEnd w:id="711"/>
      <w:bookmarkEnd w:id="712"/>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1</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打造</w:t>
      </w:r>
      <w:r>
        <w:rPr>
          <w:rFonts w:hint="eastAsia"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体育+</w:t>
      </w:r>
      <w:r>
        <w:rPr>
          <w:rFonts w:hint="eastAsia"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融合体系</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打造休闲体育产业链。</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发挥体育产业绿色、健康、朝阳产业对扩大内需、推动经济转型升级、促进就业和培育经济新动能作用，推动体育产业与旅游、健康养老养生、文化创意和设计服务、培训、信息工程、建筑、会展等产业的融合发展，延伸产业链、扩大产业规模、扩张产业边界、创造新型业态，推动体育资源在更大范围内进行合理配置，突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体育+</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，围绕体育打造休闲、健康一体化的体育产业链。</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推动</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体育+康养</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融合。</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围绕广西建设世界健康旅游目的地、打造</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长寿广西</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品牌等目标，推动体育、运动与健康产业有机衔接，开发多样化体育康养产品。依托</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世界长寿之乡</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中国长寿之乡</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、中北部良好的山地和森林资源，以五皇山、石祖岭、六万山、王岗山、那雾山</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等</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为重点区域，重点推进登山跑、定向运动、森林徒步、轮滑、BMX自行车等户外运动体验项目，修建适量的越野汽车补给营地与帐篷旅馆，开展针对老年人的山林漫道</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针对青年家庭群体的亲子活动项目设计，重点提升五皇山山地康养运动基地、石祖岭户外拓展基地、那雾山山地运动基地等。</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体育+旅游</w:t>
      </w:r>
      <w:r>
        <w:rPr>
          <w:rFonts w:hint="eastAsia" w:ascii="Times New Roman" w:hAnsi="Times New Roman" w:eastAsia="方正仿宋_GBK" w:cs="Times New Roman"/>
          <w:b/>
          <w:bCs/>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融合。</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滨海、滨湖生态资源，开展水上赛艇、皮划艇、帆船、帆板、潜水、摩托艇、滑水、漂流等运动，配合水疗、水上娱乐等辅助业态不断完善形成新兴滨湖滨水休闲运动产业体系，重点开发八寨沟漂流基地、越州天湖滨湖运动基地、茅尾海生态体育公园等项目，推进钦州</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体育+旅游</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业融合发展。</w:t>
      </w:r>
    </w:p>
    <w:tbl>
      <w:tblPr>
        <w:tblStyle w:val="25"/>
        <w:tblW w:w="89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9" w:type="dxa"/>
          </w:tcPr>
          <w:p>
            <w:pPr>
              <w:spacing w:line="360" w:lineRule="auto"/>
              <w:ind w:firstLine="0" w:firstLineChars="0"/>
              <w:jc w:val="cente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专栏4-11</w:t>
            </w: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体育+</w:t>
            </w: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融合重点项目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9" w:type="dxa"/>
          </w:tcPr>
          <w:p>
            <w:pPr>
              <w:spacing w:line="400" w:lineRule="exact"/>
              <w:ind w:firstLine="561"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体育+旅游项目。</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望海岭国际滑翔伞基地、八寨沟漂流基地、犀丽湾低空旅游休闲运动基地、石祖岭户外拓展基地、那雾山山地运动基地、五皇山山地康养运动基地、越州天湖滨湖运动基地、茅尾海生态体育公园。</w:t>
            </w:r>
          </w:p>
          <w:p>
            <w:pPr>
              <w:spacing w:line="400" w:lineRule="exact"/>
              <w:ind w:firstLine="561"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体育+美食+旅游</w:t>
            </w: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项目</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。积极</w:t>
            </w:r>
            <w:r>
              <w:rPr>
                <w:rFonts w:hint="default" w:ascii="Times New Roman" w:hAnsi="Times New Roman" w:eastAsia="方正仿宋_GBK" w:cs="Times New Roman"/>
                <w:bCs/>
                <w:color w:val="000000" w:themeColor="text1"/>
                <w:sz w:val="24"/>
                <w:szCs w:val="24"/>
                <w:highlight w:val="none"/>
                <w14:textFill>
                  <w14:solidFill>
                    <w14:schemeClr w14:val="tx1"/>
                  </w14:solidFill>
                </w14:textFill>
              </w:rPr>
              <w:t>推动</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本土体育冠军为钦州大蚝代言，开发</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蚝运会</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特色美食与体育旅游融合品牌。</w:t>
            </w:r>
          </w:p>
          <w:p>
            <w:pPr>
              <w:spacing w:line="400" w:lineRule="exact"/>
              <w:ind w:firstLine="561" w:firstLineChars="0"/>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体育+互联网</w:t>
            </w: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项目。</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推进</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z w:val="24"/>
                <w:szCs w:val="24"/>
                <w:highlight w:val="none"/>
                <w14:textFill>
                  <w14:solidFill>
                    <w14:schemeClr w14:val="tx1"/>
                  </w14:solidFill>
                </w14:textFill>
              </w:rPr>
              <w:t>互联网</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+社区体育</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，推广在线运动、居家健身等跨界新模式。</w:t>
            </w:r>
          </w:p>
          <w:p>
            <w:pPr>
              <w:spacing w:line="400" w:lineRule="exact"/>
              <w:ind w:firstLine="561" w:firstLineChars="0"/>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体育+康养</w:t>
            </w: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项目。</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推动山地和森林运动康养、滨海滨湖运动康养，挖掘钦州大蚝养生保健、泥浴养生美容、富硒养生食品、灵山名茶、浦北石祖禅茶、神蜉酒保健等功能。</w:t>
            </w:r>
          </w:p>
        </w:tc>
      </w:tr>
    </w:tbl>
    <w:p>
      <w:pPr>
        <w:keepNext/>
        <w:keepLines/>
        <w:spacing w:line="540" w:lineRule="exact"/>
        <w:ind w:firstLine="643"/>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2</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促进体育产业消费</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丰富健身休闲服务项目。</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引导社会多方参与，共同推动全民健身计划，选择群众参与度强的健身休闲项目，大力发展徒步、路跑、篮球、排球、足球、羽毛球、龙舟、网球、乒乓球、游泳、武术、骑行、棋牌等普及性广、关注度高、市场空间大的健身休闲运动项目，培养终身运动习惯，增加体育消费</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黏</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性，激活健身培训市场。针对各县区的地理优势</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和</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内外客源市场需求，制定专项规划，着重海钓、帆船、山地户外、汽车摩托车、赛艇、露营等具有高消费特性的健身休闲项目发展。创新打造适合青少年、老年人、妇女、职工等不同人群参与的特殊消费型运动项目。</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打造15分钟体育生活圈。</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重点打造</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城区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一江两岸</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体育运动公园、茅尾海生态运动公园等具有地域特色的品牌体育休闲项目。配合原有与新建的公共体育场馆与市民健身活动中心、健身步道等健身休闲设施，打造具有创新活力的</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15分钟体育生活圈</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拓展多元体育消费业态。</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增加体育的健康、体验、新奇、互动、娱乐等元素，满足人民群众多样化精神文化与消费需求。完善体育与行业协同、产业联动体系。制定体育消费促进计划，以成熟的体育产业业态为抓手，进一步拓展体育健康、体育教育、体育旅游、体育文化等产业融合创新的新消费形态。充分发挥体育赛事与活动对交通、住宿、餐饮、景点、特产、娱乐、广告、房产等行业的消费拉动作用。</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3</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培育壮大体育企业</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多途径支持体育企业发展壮大。</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重点培育一批实力较强、有竞争和创新能力、有自主知识产权或自主品牌的体育骨干企业。支持中小体育企业发展，扶持一批细分领域的体育特色企业，实施中小微体育企业孵化成长计划，重点扶持</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专、精、特、新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中小微体育企业发展。扶持企业申报</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自治区级体育产业示范基地</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，鼓励企业做大做强。发展健身服务和体育器材、服装销售连锁企业。支持体育策划与创意、咨询与经纪、场馆运营等企业发展，支持传统产业企业转型从事体育产业。</w:t>
      </w:r>
    </w:p>
    <w:p>
      <w:pPr>
        <w:pageBreakBefore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pacing w:val="-6"/>
          <w:sz w:val="32"/>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pacing w:val="-6"/>
          <w:kern w:val="0"/>
          <w:sz w:val="32"/>
          <w:szCs w:val="32"/>
          <w:highlight w:val="none"/>
          <w14:textFill>
            <w14:solidFill>
              <w14:schemeClr w14:val="tx1"/>
            </w14:solidFill>
          </w14:textFill>
        </w:rPr>
        <w:t>多方式优化体育企业发展环境。</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积极创新投入机制和扶持方式，吸引更多的社会资本、调动更多社会资源投入体育产业；充分利用现代金融科技手段，培育体育产业载体平台，在运动项目发展、健身休闲设施建设、体育赛事活动举办等方面，实现体育产业与金融业的深度融合；搭建体育企业推介平台，为钦州体育企业做好宣传推介，为社会资本进入我市体育产业提供</w:t>
      </w:r>
      <w:r>
        <w:rPr>
          <w:rFonts w:hint="default" w:ascii="Times New Roman" w:hAnsi="Times New Roman" w:eastAsia="方正仿宋_GBK" w:cs="Times New Roman"/>
          <w:color w:val="000000" w:themeColor="text1"/>
          <w:spacing w:val="-6"/>
          <w:kern w:val="0"/>
          <w:sz w:val="32"/>
          <w:szCs w:val="32"/>
          <w:highlight w:val="none"/>
          <w:lang w:eastAsia="zh-CN"/>
          <w14:textFill>
            <w14:solidFill>
              <w14:schemeClr w14:val="tx1"/>
            </w14:solidFill>
          </w14:textFill>
        </w:rPr>
        <w:t>优质</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服务。</w:t>
      </w:r>
    </w:p>
    <w:p>
      <w:pPr>
        <w:pStyle w:val="5"/>
        <w:pageBreakBefore w:val="0"/>
        <w:kinsoku/>
        <w:wordWrap/>
        <w:overflowPunct/>
        <w:topLinePunct w:val="0"/>
        <w:autoSpaceDE/>
        <w:autoSpaceDN/>
        <w:bidi w:val="0"/>
        <w:adjustRightInd/>
        <w:snapToGrid/>
        <w:spacing w:before="0" w:after="0" w:line="500" w:lineRule="exact"/>
        <w:ind w:firstLine="643"/>
        <w:jc w:val="both"/>
        <w:textAlignment w:val="auto"/>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pPr>
      <w:bookmarkStart w:id="713" w:name="_Toc85183140"/>
      <w:bookmarkStart w:id="714" w:name="_Toc85206575"/>
      <w:bookmarkStart w:id="715" w:name="_Toc17623"/>
      <w:bookmarkStart w:id="716" w:name="_Toc1420"/>
      <w:bookmarkStart w:id="717" w:name="_Toc84945387"/>
      <w:bookmarkStart w:id="718" w:name="_Toc85051032"/>
      <w:bookmarkStart w:id="719" w:name="_Toc872512374"/>
      <w:bookmarkStart w:id="720" w:name="_Toc1991289358"/>
      <w:bookmarkStart w:id="721" w:name="_Toc1478402259"/>
      <w:bookmarkStart w:id="722" w:name="_Toc1086266848"/>
      <w:r>
        <w:rPr>
          <w:rFonts w:hint="eastAsia" w:ascii="方正楷体_GBK" w:hAnsi="方正楷体_GBK" w:eastAsia="方正楷体_GBK" w:cs="方正楷体_GBK"/>
          <w:b w:val="0"/>
          <w:bCs w:val="0"/>
          <w:color w:val="000000" w:themeColor="text1"/>
          <w:sz w:val="32"/>
          <w:highlight w:val="none"/>
          <w14:textFill>
            <w14:solidFill>
              <w14:schemeClr w14:val="tx1"/>
            </w14:solidFill>
          </w14:textFill>
        </w:rPr>
        <w:t>（四）实现体育多元化发展</w:t>
      </w:r>
      <w:bookmarkEnd w:id="713"/>
      <w:bookmarkEnd w:id="714"/>
      <w:bookmarkEnd w:id="715"/>
      <w:bookmarkEnd w:id="716"/>
      <w:bookmarkEnd w:id="717"/>
      <w:bookmarkEnd w:id="718"/>
      <w:r>
        <w:rPr>
          <w:rFonts w:hint="eastAsia" w:ascii="方正楷体_GBK" w:hAnsi="方正楷体_GBK" w:eastAsia="方正楷体_GBK" w:cs="方正楷体_GBK"/>
          <w:b w:val="0"/>
          <w:bCs w:val="0"/>
          <w:color w:val="000000" w:themeColor="text1"/>
          <w:sz w:val="32"/>
          <w:highlight w:val="none"/>
          <w:lang w:eastAsia="zh-CN"/>
          <w14:textFill>
            <w14:solidFill>
              <w14:schemeClr w14:val="tx1"/>
            </w14:solidFill>
          </w14:textFill>
        </w:rPr>
        <w:t>。</w:t>
      </w:r>
      <w:bookmarkEnd w:id="719"/>
      <w:bookmarkEnd w:id="720"/>
      <w:bookmarkEnd w:id="721"/>
      <w:bookmarkEnd w:id="722"/>
    </w:p>
    <w:p>
      <w:pPr>
        <w:keepNext/>
        <w:keepLines/>
        <w:pageBreakBefore w:val="0"/>
        <w:kinsoku/>
        <w:wordWrap/>
        <w:overflowPunct/>
        <w:topLinePunct w:val="0"/>
        <w:autoSpaceDE/>
        <w:autoSpaceDN/>
        <w:bidi w:val="0"/>
        <w:adjustRightInd/>
        <w:snapToGrid/>
        <w:spacing w:line="500" w:lineRule="exact"/>
        <w:ind w:firstLine="643"/>
        <w:textAlignment w:val="auto"/>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1</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促进体育文化对外交流</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推进体育文化发展。</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加强对外交流合作，依托北部湾滨海休闲中心城市定位，积极打造钦州特色的体育文化品牌，把弘扬中华体育精神与坚定文化自信结合起来。积极参与政府间体育、人文交流活动，扎实推进共建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一带一路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沿线体育交流活动。积极打造一批在中国</w:t>
      </w:r>
      <w:r>
        <w:rPr>
          <w:rFonts w:hint="default" w:ascii="Times New Roman" w:hAnsi="Times New Roman" w:eastAsia="方正仿宋_GBK" w:cs="Times New Roman"/>
          <w:color w:val="000000" w:themeColor="text1"/>
          <w:kern w:val="0"/>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东盟具有影响力的体育运动赛事，成为展现北部湾休闲文化的国际体育文化交流平台。</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加强体育交流合作。</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充分发挥国际门户港的资源和体育产业交流软实力优势，积极吸引和对接相应的全球创新资源，建设开放互通、布局合理的区域创新引流体系。有效利用体育作为重要文化交流工具，积极开展与西部陆海新通道沿线地区城市、粤港澳大湾区体育交流合作；加强与东盟国家和地区体育交流合作。制定实施共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一带一路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体育发展行动计划，积极搭建各类国际体育交流平台，鼓励丰富多样的民间体育交流，打造</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一带一路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精品体育旅游赛事和线路。</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2</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大力推进足球运动发展</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全面推动足球改革发展。</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科学规划、合理布点，统筹建设足球场地。完善优秀足球后备人才培养体系，畅通校园、体校和青少年俱乐部及青少年培训中心、专业队、职业足球俱乐部各层次之间的人才选拔和输送渠道。普及发展社会足球，鼓励社会主体自发组建业余足球队、举办社会足球赛事。</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推进足球管理机制调整和改革。</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加快政社分开、管办分离步伐，推进足球社会组织与行政机关脱钩，充分发挥</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我市</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各级足球协会的作用，推进协会实体化建设。体育行政部门从微观事务管理向宏观调控、市场监管、公共服务转变，加强对足协的业务指导和监督管理。</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完善职业足球俱乐部发展体系。</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学习</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足球产业发展先进地区</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职业足球发展经验，研究把握发展规律，制定落实发展政策，构建政府引导、规划科学、依托市场、管理规范、产权明晰、运转高效的职业足球发展体系。鼓励企业、社会组织、个人投资职业足球，支持各县区政府以人才、资金、场地等多种形式，采取合作、合资、入股等多种方式，推动职业俱乐部发展。</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加强足球场地建设管理。</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时期，力争每万人拥有足球场地0.9块。按照管办分离和非营利性原则，通过委托授权、购买服务等方式，招标选择专业的社会组织或企业管理运营公共足球场，促进公共足球场地低价或免费向社会开放。推动学校足球场在课外时间低价或免费向社会开放。</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3</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促进体育精品赛事打造</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eastAsia" w:ascii="Times New Roman" w:hAnsi="Times New Roman" w:eastAsia="方正仿宋_GBK" w:cs="Times New Roman"/>
          <w:color w:val="000000" w:themeColor="text1"/>
          <w:spacing w:val="0"/>
          <w:kern w:val="0"/>
          <w:sz w:val="32"/>
          <w:szCs w:val="32"/>
          <w:highlight w:val="none"/>
          <w:lang w:val="en-US" w:eastAsia="zh-CN"/>
          <w14:textFill>
            <w14:solidFill>
              <w14:schemeClr w14:val="tx1"/>
            </w14:solidFill>
          </w14:textFill>
        </w:rPr>
      </w:pPr>
      <w:r>
        <w:rPr>
          <w:rFonts w:hint="default" w:ascii="Times New Roman" w:hAnsi="Times New Roman" w:eastAsia="方正仿宋_GBK" w:cs="Times New Roman"/>
          <w:b/>
          <w:bCs/>
          <w:color w:val="000000" w:themeColor="text1"/>
          <w:spacing w:val="0"/>
          <w:kern w:val="0"/>
          <w:sz w:val="32"/>
          <w:szCs w:val="32"/>
          <w:highlight w:val="none"/>
          <w14:textFill>
            <w14:solidFill>
              <w14:schemeClr w14:val="tx1"/>
            </w14:solidFill>
          </w14:textFill>
        </w:rPr>
        <w:t>打造精品体育赛事。</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在做好常态化疫情防控基础上，积极承办体育赛事，大力发展体育产业，推动疫情防控和体育事业协调发展。创新赛事运行机制，构建政府主导、市场化运营模式，创新开展北部湾滑翔伞国际邀请赛，积极扩大滑翔伞运动的国际影响力。巩固提升环广西公路自行车世界巡回赛、国际半程马拉</w:t>
      </w:r>
      <w:r>
        <w:rPr>
          <w:rFonts w:hint="default" w:ascii="Times New Roman" w:hAnsi="Times New Roman" w:eastAsia="方正仿宋_GBK" w:cs="Times New Roman"/>
          <w:color w:val="000000" w:themeColor="text1"/>
          <w:spacing w:val="0"/>
          <w:kern w:val="0"/>
          <w:sz w:val="32"/>
          <w:szCs w:val="32"/>
          <w:highlight w:val="none"/>
          <w:lang w:eastAsia="zh-CN"/>
          <w14:textFill>
            <w14:solidFill>
              <w14:schemeClr w14:val="tx1"/>
            </w14:solidFill>
          </w14:textFill>
        </w:rPr>
        <w:t>松</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赛等赛事品牌。组织策划</w:t>
      </w:r>
      <w:r>
        <w:rPr>
          <w:rFonts w:hint="eastAsia" w:ascii="Times New Roman" w:hAnsi="Times New Roman" w:eastAsia="方正仿宋_GBK" w:cs="Times New Roman"/>
          <w:color w:val="000000" w:themeColor="text1"/>
          <w:spacing w:val="0"/>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奔跑吧</w:t>
      </w:r>
      <w:r>
        <w:rPr>
          <w:rFonts w:hint="default" w:ascii="Times New Roman" w:hAnsi="Times New Roman" w:eastAsia="方正仿宋_GBK" w:cs="Times New Roman"/>
          <w:color w:val="000000" w:themeColor="text1"/>
          <w:spacing w:val="0"/>
          <w:sz w:val="24"/>
          <w:szCs w:val="24"/>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广西</w:t>
      </w:r>
      <w:r>
        <w:rPr>
          <w:rFonts w:hint="eastAsia" w:ascii="Times New Roman" w:hAnsi="Times New Roman" w:eastAsia="方正仿宋_GBK" w:cs="Times New Roman"/>
          <w:color w:val="000000" w:themeColor="text1"/>
          <w:spacing w:val="0"/>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生态马拉松系列赛（钦州站）、</w:t>
      </w:r>
      <w:r>
        <w:rPr>
          <w:rFonts w:hint="eastAsia" w:ascii="Times New Roman" w:hAnsi="Times New Roman" w:eastAsia="方正仿宋_GBK" w:cs="Times New Roman"/>
          <w:color w:val="000000" w:themeColor="text1"/>
          <w:spacing w:val="0"/>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壮族三月三</w:t>
      </w:r>
      <w:r>
        <w:rPr>
          <w:rFonts w:hint="default" w:ascii="Times New Roman" w:hAnsi="Times New Roman" w:eastAsia="方正仿宋_GBK" w:cs="Times New Roman"/>
          <w:color w:val="000000" w:themeColor="text1"/>
          <w:spacing w:val="0"/>
          <w:sz w:val="24"/>
          <w:szCs w:val="24"/>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民族体育炫</w:t>
      </w:r>
      <w:r>
        <w:rPr>
          <w:rFonts w:hint="eastAsia" w:ascii="Times New Roman" w:hAnsi="Times New Roman" w:eastAsia="方正仿宋_GBK" w:cs="Times New Roman"/>
          <w:color w:val="000000" w:themeColor="text1"/>
          <w:spacing w:val="0"/>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钦州系列活动、那雾山登山节、老街城市定向挑战赛等重大赛事活动，承办好</w:t>
      </w:r>
      <w:r>
        <w:rPr>
          <w:rFonts w:hint="default" w:ascii="Times New Roman" w:hAnsi="Times New Roman" w:eastAsia="方正仿宋_GBK" w:cs="Times New Roman"/>
          <w:color w:val="000000" w:themeColor="text1"/>
          <w:spacing w:val="0"/>
          <w:kern w:val="0"/>
          <w:sz w:val="32"/>
          <w:szCs w:val="32"/>
          <w:highlight w:val="none"/>
          <w:lang w:eastAsia="zh-CN"/>
          <w14:textFill>
            <w14:solidFill>
              <w14:schemeClr w14:val="tx1"/>
            </w14:solidFill>
          </w14:textFill>
        </w:rPr>
        <w:t>第</w:t>
      </w:r>
      <w:r>
        <w:rPr>
          <w:rFonts w:hint="default" w:ascii="Times New Roman" w:hAnsi="Times New Roman" w:eastAsia="方正仿宋_GBK" w:cs="Times New Roman"/>
          <w:color w:val="000000" w:themeColor="text1"/>
          <w:spacing w:val="0"/>
          <w:kern w:val="0"/>
          <w:sz w:val="32"/>
          <w:szCs w:val="32"/>
          <w:highlight w:val="none"/>
          <w14:textFill>
            <w14:solidFill>
              <w14:schemeClr w14:val="tx1"/>
            </w14:solidFill>
          </w14:textFill>
        </w:rPr>
        <w:t>一届全国学生（青年）运动会体育舞蹈和沙滩排球两项比赛。</w:t>
      </w:r>
    </w:p>
    <w:p>
      <w:pPr>
        <w:keepNext/>
        <w:keepLines/>
        <w:spacing w:line="540" w:lineRule="exact"/>
        <w:ind w:firstLine="643"/>
        <w:outlineLvl w:val="3"/>
        <w:rPr>
          <w:rFonts w:hint="default" w:ascii="Times New Roman" w:hAnsi="Times New Roman" w:eastAsia="方正仿宋_GBK" w:cs="Times New Roman"/>
          <w:b/>
          <w:color w:val="000000" w:themeColor="text1"/>
          <w:sz w:val="32"/>
          <w:szCs w:val="24"/>
          <w:highlight w:val="none"/>
          <w:lang w:eastAsia="zh-CN"/>
          <w14:textFill>
            <w14:solidFill>
              <w14:schemeClr w14:val="tx1"/>
            </w14:solidFill>
          </w14:textFill>
        </w:rPr>
      </w:pP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4</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imes New Roman"/>
          <w:b/>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b/>
          <w:color w:val="000000" w:themeColor="text1"/>
          <w:sz w:val="32"/>
          <w:szCs w:val="32"/>
          <w:highlight w:val="none"/>
          <w14:textFill>
            <w14:solidFill>
              <w14:schemeClr w14:val="tx1"/>
            </w14:solidFill>
          </w14:textFill>
        </w:rPr>
        <w:t>促进三大主题运动发展</w:t>
      </w:r>
      <w:r>
        <w:rPr>
          <w:rFonts w:hint="default" w:ascii="Times New Roman" w:hAnsi="Times New Roman" w:eastAsia="方正仿宋_GBK" w:cs="Times New Roman"/>
          <w:b/>
          <w:color w:val="000000" w:themeColor="text1"/>
          <w:sz w:val="32"/>
          <w:szCs w:val="32"/>
          <w:highlight w:val="none"/>
          <w:lang w:eastAsia="zh-CN"/>
          <w14:textFill>
            <w14:solidFill>
              <w14:schemeClr w14:val="tx1"/>
            </w14:solidFill>
          </w14:textFill>
        </w:rPr>
        <w:t>。</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加快发展滨海运动。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整合</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我市</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特殊的最美内海与丰富海岸线资源，发挥西部陆海新通道枢纽优势，创新在海陆上连接北部湾、辐射粤港澳大湾区的体育消费产品。探索打造滨海越野跑、海钓赛事、海岛定向赛等一系列标准赛事，以引流消费为核心，建设茅尾海生态运动公园、犀丽湾低空旅游休闲运动基地。结合钦州</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十四五</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交通规划，发挥公路交通、轨道交通的新基建优势，因地制宜设置一批高品质房车营地，推动海洋休闲生活方式的全民化。为北部湾、粤港澳大湾区、东盟国家的企业，量身定制海上体育旅游产品，为广大消费者提供海上主题活动与体育赛事、游艇、帆船体验、海钓、培训等综合服务。</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积极发展山地运动。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依托六万山、六峰山、五皇山、那雾山等山地资源，结合城乡融合发展试验区，积极打造北部湾具有较强影响力的山地户外运动小镇。针对北部湾、</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粤港澳</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大湾区</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两湾</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地区的户外运动消费者喜好，引进并打造具有较强影响力的山地定向越野赛、山地马拉松赛、山地自行车赛。结合钦州特有的海洋资源，创新打造</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山海运动</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为主题</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的</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国际品牌赛事活动，吸引年轻消费群体与</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国</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内外客群参与。依托山地资源、长寿之乡品牌，融合运动康复、物理治疗等创新业态与景区、美食资源的叠加效应，推动景观型向体育康养型产品的转变。建设1</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2个具有钦州特色的体育旅游主题</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半山酒店</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山顶酒店</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产品，形成</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聚落</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效应，满足消费者消费升级需求，激活山地旅游景点资源。</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highlight w:val="none"/>
          <w14:textFill>
            <w14:solidFill>
              <w14:schemeClr w14:val="tx1"/>
            </w14:solidFill>
          </w14:textFill>
        </w:rPr>
        <w:t>鼓励发展低空运动。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国家开放低空飞行和广西发展低空运动品牌为契机，大力开发以通用航空、低空飞行为主的航空旅游产品，发展滑翔伞、直升机、水上飞机、热气球、自转旋翼机、动力伞和无人机航模等项目，积极开发低空观光体验、运动休闲、赛事活动等低空旅游体验产品，策划举办空中婚礼、空中摄影、空中跳伞等定制空中游览项目，建成北部湾低空运动基地。</w:t>
      </w:r>
    </w:p>
    <w:p>
      <w:pPr>
        <w:pStyle w:val="19"/>
        <w:ind w:left="1120" w:hanging="560"/>
        <w:rPr>
          <w:rFonts w:hint="default" w:ascii="Times New Roman" w:hAnsi="Times New Roman" w:eastAsia="方正仿宋_GBK" w:cs="Times New Roman"/>
          <w:color w:val="000000" w:themeColor="text1"/>
          <w:highlight w:val="none"/>
          <w14:textFill>
            <w14:solidFill>
              <w14:schemeClr w14:val="tx1"/>
            </w14:solidFill>
          </w14:textFill>
        </w:rPr>
      </w:pPr>
    </w:p>
    <w:bookmarkEnd w:id="307"/>
    <w:bookmarkEnd w:id="308"/>
    <w:bookmarkEnd w:id="309"/>
    <w:bookmarkEnd w:id="310"/>
    <w:bookmarkEnd w:id="311"/>
    <w:bookmarkEnd w:id="646"/>
    <w:p>
      <w:pPr>
        <w:widowControl/>
        <w:spacing w:line="240" w:lineRule="auto"/>
        <w:ind w:firstLine="0" w:firstLineChars="0"/>
        <w:jc w:val="left"/>
        <w:rPr>
          <w:rFonts w:ascii="Times New Roman" w:hAnsi="Times New Roman" w:eastAsia="黑体" w:cs="Times New Roman"/>
          <w:b/>
          <w:bCs/>
          <w:color w:val="000000" w:themeColor="text1"/>
          <w:kern w:val="44"/>
          <w:sz w:val="44"/>
          <w:szCs w:val="44"/>
          <w:highlight w:val="none"/>
          <w14:textFill>
            <w14:solidFill>
              <w14:schemeClr w14:val="tx1"/>
            </w14:solidFill>
          </w14:textFill>
        </w:rPr>
      </w:pPr>
      <w:bookmarkStart w:id="723" w:name="_Toc84945402"/>
      <w:r>
        <w:rPr>
          <w:rFonts w:ascii="Times New Roman" w:hAnsi="Times New Roman" w:cs="Times New Roman"/>
          <w:color w:val="000000" w:themeColor="text1"/>
          <w:szCs w:val="44"/>
          <w:highlight w:val="none"/>
          <w14:textFill>
            <w14:solidFill>
              <w14:schemeClr w14:val="tx1"/>
            </w14:solidFill>
          </w14:textFill>
        </w:rPr>
        <w:br w:type="page"/>
      </w:r>
    </w:p>
    <w:p>
      <w:pPr>
        <w:pStyle w:val="29"/>
        <w:spacing w:before="190" w:beforeLines="50" w:after="190" w:afterLines="50"/>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pPr>
      <w:bookmarkStart w:id="724" w:name="_Toc10872"/>
      <w:bookmarkStart w:id="725" w:name="_Toc461613566"/>
      <w:bookmarkStart w:id="726" w:name="_Toc1281262678"/>
      <w:bookmarkStart w:id="727" w:name="_Toc668447164"/>
      <w:bookmarkStart w:id="728" w:name="_Toc253633293"/>
      <w:r>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t>第五章  重点工程</w:t>
      </w:r>
      <w:bookmarkEnd w:id="724"/>
      <w:bookmarkEnd w:id="725"/>
      <w:bookmarkEnd w:id="726"/>
      <w:bookmarkEnd w:id="727"/>
      <w:bookmarkEnd w:id="728"/>
    </w:p>
    <w:p>
      <w:pPr>
        <w:pStyle w:val="4"/>
        <w:keepNext/>
        <w:keepLines/>
        <w:pageBreakBefore w:val="0"/>
        <w:widowControl w:val="0"/>
        <w:kinsoku/>
        <w:wordWrap/>
        <w:overflowPunct/>
        <w:topLinePunct w:val="0"/>
        <w:autoSpaceDE/>
        <w:autoSpaceDN/>
        <w:bidi w:val="0"/>
        <w:adjustRightInd/>
        <w:snapToGrid/>
        <w:spacing w:before="573" w:beforeLines="150" w:after="0" w:line="500" w:lineRule="exact"/>
        <w:ind w:firstLine="643"/>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729" w:name="_Toc47922570"/>
      <w:bookmarkStart w:id="730" w:name="_Toc354208867"/>
      <w:bookmarkStart w:id="731" w:name="_Toc10681"/>
      <w:bookmarkStart w:id="732" w:name="_Toc238420262"/>
      <w:bookmarkStart w:id="733" w:name="_Toc544074267"/>
      <w:bookmarkStart w:id="734" w:name="_Toc3571"/>
      <w:bookmarkStart w:id="735" w:name="_Toc2475"/>
      <w:bookmarkStart w:id="736" w:name="_Toc19666"/>
      <w:bookmarkStart w:id="737" w:name="_Toc23819"/>
      <w:bookmarkStart w:id="738" w:name="_Toc80024401"/>
      <w:r>
        <w:rPr>
          <w:rFonts w:hint="default" w:ascii="Times New Roman" w:hAnsi="Times New Roman" w:eastAsia="方正黑体_GBK" w:cs="Times New Roman"/>
          <w:b w:val="0"/>
          <w:bCs w:val="0"/>
          <w:color w:val="000000" w:themeColor="text1"/>
          <w:highlight w:val="none"/>
          <w14:textFill>
            <w14:solidFill>
              <w14:schemeClr w14:val="tx1"/>
            </w14:solidFill>
          </w14:textFill>
        </w:rPr>
        <w:t>一、实施海丝文化申遗工程</w:t>
      </w:r>
      <w:bookmarkEnd w:id="729"/>
      <w:bookmarkEnd w:id="730"/>
      <w:bookmarkEnd w:id="731"/>
      <w:bookmarkEnd w:id="732"/>
      <w:bookmarkEnd w:id="733"/>
    </w:p>
    <w:p>
      <w:pPr>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严格对照世界文化遗产的定义和标准，遵循</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保护第一</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真实性、完整性</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的基本原则，制定专项保护管理规划，推动文化遗产保护领域的地方立法工作，创造条件申报世界文化遗产，积极推动钦州创建海丝文化遗产城市。</w:t>
      </w:r>
    </w:p>
    <w:p>
      <w:pPr>
        <w:ind w:firstLine="640"/>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加强</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我</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市海上丝绸之路文物史迹的调查与研究，深入挖掘钦州海丝文化的丰厚底蕴，</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完善各项各类遗产点考古发掘、保护修缮、定级升格工作和历史文化内涵研究工作。在完善文物保护研究工作的前提下，做好各遗产点保护提升与文物展示工作，推进文物保护设施与展示工程建设和学术研究成果宣传展示工作，拓展非物质文化遗产文化内涵。</w:t>
      </w:r>
    </w:p>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tbl>
      <w:tblPr>
        <w:tblStyle w:val="24"/>
        <w:tblW w:w="8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448" w:type="dxa"/>
            <w:vAlign w:val="center"/>
          </w:tcPr>
          <w:p>
            <w:pPr>
              <w:spacing w:line="480" w:lineRule="exact"/>
              <w:ind w:firstLine="562"/>
              <w:jc w:val="center"/>
              <w:rPr>
                <w:rFonts w:hint="default" w:ascii="Times New Roman" w:hAnsi="Times New Roman" w:eastAsia="方正仿宋_GBK" w:cs="Times New Roman"/>
                <w:b/>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专栏5-1 海上丝绸之路申遗工程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448" w:type="dxa"/>
            <w:vAlign w:val="center"/>
          </w:tcPr>
          <w:p>
            <w:pPr>
              <w:spacing w:line="48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开展相关考古调查和发掘。</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开展古城遗址、博易场遗址、码头遗址、坭兴陶遗址、</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海岸线运河</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遗址、古驿道遗址、盐场与盐埠遗址系列考古调查和发掘，系统掌握海丝文化遗址的分布、数量、型制、规格、保存状况等信息。</w:t>
            </w:r>
          </w:p>
          <w:p>
            <w:pPr>
              <w:spacing w:line="48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推动海丝文化遗址保护升级。</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实施海上丝绸之路</w:t>
            </w:r>
            <w:r>
              <w:rPr>
                <w:rFonts w:hint="default" w:ascii="Times New Roman" w:hAnsi="Times New Roman" w:eastAsia="方正仿宋_GBK" w:cs="Times New Roman"/>
                <w:color w:val="000000" w:themeColor="text1"/>
                <w:spacing w:val="0"/>
                <w:sz w:val="24"/>
                <w:szCs w:val="24"/>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天威泾（钦州段）遗产点（越州故城、缸瓦窑村古龙窑、西坑古运河、乌雷炮台等）文物本体保护、环境整治、遗址保护提升工程和文物保护单位级别升格。</w:t>
            </w:r>
          </w:p>
          <w:p>
            <w:pPr>
              <w:spacing w:line="48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开展系列相关课题研究。</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继续推动对西坑古运河等遗产点相关考古发掘简报和海丝研究成果的收集整理工作；邀请相关专家学者开展海上丝绸之路</w:t>
            </w:r>
            <w:r>
              <w:rPr>
                <w:rFonts w:hint="default" w:ascii="Times New Roman" w:hAnsi="Times New Roman" w:eastAsia="方正仿宋_GBK" w:cs="Times New Roman"/>
                <w:color w:val="000000" w:themeColor="text1"/>
                <w:spacing w:val="0"/>
                <w:sz w:val="24"/>
                <w:szCs w:val="24"/>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天威泾（钦州段）系列相关课题研究与整理出版工作，推进与南京大学、中山大学等研究机构的学术交流合作，整理出版相关研究专著。</w:t>
            </w:r>
          </w:p>
        </w:tc>
      </w:tr>
    </w:tbl>
    <w:p>
      <w:pPr>
        <w:pStyle w:val="4"/>
        <w:pageBreakBefore w:val="0"/>
        <w:widowControl w:val="0"/>
        <w:kinsoku/>
        <w:wordWrap/>
        <w:overflowPunct/>
        <w:topLinePunct w:val="0"/>
        <w:autoSpaceDE/>
        <w:autoSpaceDN/>
        <w:bidi w:val="0"/>
        <w:adjustRightInd/>
        <w:snapToGrid/>
        <w:spacing w:before="0" w:after="0" w:line="500" w:lineRule="exact"/>
        <w:ind w:firstLine="643"/>
        <w:textAlignment w:val="auto"/>
        <w:rPr>
          <w:rFonts w:hint="eastAsia" w:ascii="方正黑体_GBK" w:hAnsi="方正黑体_GBK" w:eastAsia="方正黑体_GBK" w:cs="方正黑体_GBK"/>
          <w:b w:val="0"/>
          <w:bCs w:val="0"/>
          <w:color w:val="000000" w:themeColor="text1"/>
          <w:highlight w:val="none"/>
          <w14:textFill>
            <w14:solidFill>
              <w14:schemeClr w14:val="tx1"/>
            </w14:solidFill>
          </w14:textFill>
        </w:rPr>
      </w:pPr>
      <w:bookmarkStart w:id="739" w:name="_Toc7768"/>
      <w:bookmarkStart w:id="740" w:name="_Toc521974744"/>
      <w:bookmarkStart w:id="741" w:name="_Toc1037856013"/>
      <w:bookmarkStart w:id="742" w:name="_Toc486644713"/>
      <w:bookmarkStart w:id="743" w:name="_Toc325942214"/>
      <w:r>
        <w:rPr>
          <w:rFonts w:hint="eastAsia" w:ascii="方正黑体_GBK" w:hAnsi="方正黑体_GBK" w:eastAsia="方正黑体_GBK" w:cs="方正黑体_GBK"/>
          <w:b w:val="0"/>
          <w:bCs w:val="0"/>
          <w:color w:val="000000" w:themeColor="text1"/>
          <w:highlight w:val="none"/>
          <w14:textFill>
            <w14:solidFill>
              <w14:schemeClr w14:val="tx1"/>
            </w14:solidFill>
          </w14:textFill>
        </w:rPr>
        <w:t>二、实施重点文旅品牌创建工程</w:t>
      </w:r>
      <w:bookmarkEnd w:id="739"/>
      <w:bookmarkEnd w:id="740"/>
      <w:bookmarkEnd w:id="741"/>
      <w:bookmarkEnd w:id="742"/>
      <w:bookmarkEnd w:id="743"/>
    </w:p>
    <w:p>
      <w:pPr>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全力做好国家级旅游度假区、国家AAAAA级景区、国家级旅游休闲城市和街区、国家级文化产业示范园区、国家考古遗址公园、体育旅游示范基地创建工作。推动文旅品牌的对标建设与升级，制定提升规划、工作方案，完善景区的文化旅游基础设施和公共服务设施，配套建设度假区内的高端精品酒店、度假休闲设施，丰富景区和度假区的文化旅游演艺、非遗文创旅游商品购物、夜间娱乐等业态，提升景区和度假区的文化内涵，丰富休闲度假产品供给，提供一流的服务水平，营造高端休闲度假氛围，推进灵山、浦北创建自治区级全域旅游示范区，钦州创建国家级全域旅游示范市，推动钦州市创建自治区级旅游休闲城市。</w:t>
      </w:r>
    </w:p>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tbl>
      <w:tblPr>
        <w:tblStyle w:val="24"/>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6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b/>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专栏5-2 国家级文旅品牌突破发展工程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6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国家级旅游度假区</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。推进茅尾海度假区、三娘湾景区、五皇山景区完善度假设施，提升旅游服务水平，积极创建自治区级、国家级旅游度假区。</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AAAAA级及以上旅游景区</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。推进三娘湾景区创建AAAAA级景区工作。</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国家级文化产业示范园区。</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创建坭兴陶国家级文化产业示范园区。</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自治区级、国家级旅游休闲街区</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。推动钦州老街、六峰山步行街、晨华文旅街创建自治区级、国家级旅游休闲街区。</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夜间文化和旅游消费集聚区。</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推进钦州老街、鸿发夜市街、钦州美食一条街、粤港风情街、长融文旅休闲街区、浦北晨华文旅街、灵山千年街等街区积极创建夜间文化和旅游消费集聚区。</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lang w:eastAsia="zh-CN"/>
                <w14:textFill>
                  <w14:solidFill>
                    <w14:schemeClr w14:val="tx1"/>
                  </w14:solidFill>
                </w14:textFill>
              </w:rPr>
              <w:t>高等级</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旅游饭店</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出台鼓励高等级酒店投资建设扶持政策，</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推进现有的四星级酒店提档升级，建设五星级旅游饭店，引进国际一线品牌高端商务型、度假型酒店</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自治区级及以上文化产业示范基地</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。完善千年古陶城、陶花岛、钦州方圆陶瓷历史文化馆等国家级和自治区级文化产业示范基地建设，提高文化产业示范基地的广度和深度，做大做强文化产业示范基地品牌。</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考古遗址公园。</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推动越州古城创建自治区级考古遗址公园。</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0"/>
              <w:textAlignment w:val="auto"/>
              <w:rPr>
                <w:rFonts w:hint="default" w:ascii="Times New Roman" w:hAnsi="Times New Roman" w:eastAsia="方正仿宋_GBK" w:cs="Times New Roman"/>
                <w:color w:val="000000" w:themeColor="text1"/>
                <w:sz w:val="24"/>
                <w:szCs w:val="21"/>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生态旅游示范区。</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推动八寨沟景区创建国家生态旅游示范区，推动桂味新光农场、百年荔枝生态园、那雾山森林公园创建广西生态旅游示范区。</w:t>
            </w:r>
          </w:p>
        </w:tc>
      </w:tr>
    </w:tbl>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p>
      <w:pPr>
        <w:pStyle w:val="4"/>
        <w:pageBreakBefore w:val="0"/>
        <w:widowControl w:val="0"/>
        <w:kinsoku/>
        <w:wordWrap/>
        <w:overflowPunct/>
        <w:topLinePunct w:val="0"/>
        <w:autoSpaceDE/>
        <w:autoSpaceDN/>
        <w:bidi w:val="0"/>
        <w:adjustRightInd/>
        <w:snapToGrid/>
        <w:spacing w:before="0" w:after="0" w:line="500" w:lineRule="exact"/>
        <w:ind w:firstLine="643"/>
        <w:textAlignment w:val="auto"/>
        <w:rPr>
          <w:rFonts w:hint="eastAsia" w:ascii="方正黑体_GBK" w:hAnsi="方正黑体_GBK" w:eastAsia="方正黑体_GBK" w:cs="方正黑体_GBK"/>
          <w:b w:val="0"/>
          <w:bCs w:val="0"/>
          <w:color w:val="000000" w:themeColor="text1"/>
          <w:highlight w:val="none"/>
          <w14:textFill>
            <w14:solidFill>
              <w14:schemeClr w14:val="tx1"/>
            </w14:solidFill>
          </w14:textFill>
        </w:rPr>
      </w:pPr>
      <w:bookmarkStart w:id="744" w:name="_Toc29700"/>
      <w:bookmarkStart w:id="745" w:name="_Toc1812594087"/>
      <w:bookmarkStart w:id="746" w:name="_Toc1133529657"/>
      <w:bookmarkStart w:id="747" w:name="_Toc1150451850"/>
      <w:bookmarkStart w:id="748" w:name="_Toc993305876"/>
      <w:r>
        <w:rPr>
          <w:rFonts w:hint="eastAsia" w:ascii="方正黑体_GBK" w:hAnsi="方正黑体_GBK" w:eastAsia="方正黑体_GBK" w:cs="方正黑体_GBK"/>
          <w:b w:val="0"/>
          <w:bCs w:val="0"/>
          <w:color w:val="000000" w:themeColor="text1"/>
          <w:highlight w:val="none"/>
          <w14:textFill>
            <w14:solidFill>
              <w14:schemeClr w14:val="tx1"/>
            </w14:solidFill>
          </w14:textFill>
        </w:rPr>
        <w:t>三、实施农文旅融合助推乡村振兴工程</w:t>
      </w:r>
      <w:bookmarkEnd w:id="744"/>
      <w:bookmarkEnd w:id="745"/>
      <w:bookmarkEnd w:id="746"/>
      <w:bookmarkEnd w:id="747"/>
      <w:bookmarkEnd w:id="748"/>
    </w:p>
    <w:p>
      <w:pPr>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加强乡村振兴的文化引领。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深入挖掘乡村文化内涵，加强乡村传统文化的传承保护与利用，建设乡村文化阵地，用乡土文化培育乡风文明，提高乡村社会文明程度。以乡村非遗传承、手工作坊、乡村创客基地等推动乡村文旅微创新，以乡村旅游激活乡土文化复兴，重塑乡村文化自信。完善乡村旅游厕所、乡村停车场、旅游标识牌、游客中心等公共服务设施建设，提升公共文化旅游服务能力和水平，推动乡村建设成为生态宜居、富裕繁荣、和谐发展的美丽家园。</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开展农文旅融合产业协同发展试点。</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钦州城乡融合发展试验区为产业协同载体平台，探索建立农文旅融合示范区，推动城市旅游服务业向农业农村延伸，培育新产业新业态，探索要素跨城乡配置、产业有机融合的农文旅发展新路径，打造若干个有本地特色的典型。依托果苗示范场、示范园、示范基地，建设果苗科普教育基地、苗木观光基地等，发展乡村休闲、农耕体验等新业态。规划文旅项目用地，重点打造灵山武利伯劳片区、浦北北通镇农文旅融合示范区、浦北县五皇山（石祖岭）旅游养生基地，建设环五皇山热带瓜果乡村旅游廊道，将五皇山景区开发作为灵浦城乡试验区产业配套推进。</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推进农文旅深度示范项目建设。</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探索建立农文旅融合示范区，重点支持建设灵山伯劳玉兰花产业园、浦北白石水农业观光产业园、五皇山田园综合体等一二三产融合发展示范园区，争创全国农村产业融合发展示范园。策划举办白玉兰花赏花节、苗木展销会、中药材博览会等具有本地特色的农旅融合特色节庆活动。加快建设北部湾华侨投资区农旅融合特色康养先行地，以富硒农业、生态循环农业、休闲农业等现代农业作为支撑，发展特色养生旅游、乡村旅游、农庄体验。加快上海乐百年康养项目的落地实施，打造集康养旅游、主题庄园、运动休闲、特色农业种养为一体的北部湾国际康旅小镇与农林文化综合体项目，建设自治区特色康养旅游的先导区。</w:t>
      </w:r>
    </w:p>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tbl>
      <w:tblPr>
        <w:tblStyle w:val="24"/>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642" w:type="dxa"/>
            <w:vAlign w:val="center"/>
          </w:tcPr>
          <w:p>
            <w:pPr>
              <w:spacing w:line="480" w:lineRule="exact"/>
              <w:ind w:firstLine="562"/>
              <w:jc w:val="center"/>
              <w:rPr>
                <w:rFonts w:hint="default" w:ascii="Times New Roman" w:hAnsi="Times New Roman" w:eastAsia="方正仿宋_GBK" w:cs="Times New Roman"/>
                <w:b/>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专栏5-3 农文旅融合助推乡村振兴工程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642" w:type="dxa"/>
            <w:vAlign w:val="center"/>
          </w:tcPr>
          <w:p>
            <w:pPr>
              <w:spacing w:line="48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乡村旅游重点村（镇）建设。</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重点建设大芦村、苏村、马肚塘村，推动那新村创建全国乡村旅游重点村，推动林垌村、清湖村、洞利村、殿艮村、那疋村、米蒌村、三娘湾村、大环村、那雾塘村、崩塘村、滩头村、元眼村、平坡村等创建广西乡村旅游重点村。推动北通镇、那丽镇、伯劳镇、佛子镇创建全国乡村旅游重点镇。</w:t>
            </w:r>
          </w:p>
          <w:p>
            <w:pPr>
              <w:spacing w:line="480" w:lineRule="exact"/>
              <w:ind w:firstLine="562"/>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农文旅深度融合示范项目。</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重点支持建设灵山伯劳玉兰花产业园、浦北白石水农业观光产业园、五皇山田园综合体、北部湾华侨投资区农旅融合特色康养项目、上海乐百年康养项目。</w:t>
            </w:r>
          </w:p>
        </w:tc>
      </w:tr>
    </w:tbl>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p>
      <w:pPr>
        <w:pStyle w:val="4"/>
        <w:pageBreakBefore w:val="0"/>
        <w:widowControl w:val="0"/>
        <w:kinsoku/>
        <w:wordWrap/>
        <w:overflowPunct/>
        <w:topLinePunct w:val="0"/>
        <w:autoSpaceDE/>
        <w:autoSpaceDN/>
        <w:bidi w:val="0"/>
        <w:adjustRightInd/>
        <w:snapToGrid/>
        <w:spacing w:before="0" w:after="0" w:line="500" w:lineRule="exact"/>
        <w:ind w:firstLine="643"/>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749" w:name="_Toc796932488"/>
      <w:bookmarkStart w:id="750" w:name="_Toc58966522"/>
      <w:bookmarkStart w:id="751" w:name="_Toc30810"/>
      <w:bookmarkStart w:id="752" w:name="_Toc442340279"/>
      <w:bookmarkStart w:id="753" w:name="_Toc690764041"/>
      <w:r>
        <w:rPr>
          <w:rFonts w:hint="default" w:ascii="Times New Roman" w:hAnsi="Times New Roman" w:eastAsia="方正黑体_GBK" w:cs="Times New Roman"/>
          <w:b w:val="0"/>
          <w:bCs w:val="0"/>
          <w:color w:val="000000" w:themeColor="text1"/>
          <w:highlight w:val="none"/>
          <w14:textFill>
            <w14:solidFill>
              <w14:schemeClr w14:val="tx1"/>
            </w14:solidFill>
          </w14:textFill>
        </w:rPr>
        <w:t>四、实施自贸试验区（钦州港片区）文旅消费平台建设工程</w:t>
      </w:r>
      <w:bookmarkEnd w:id="749"/>
      <w:bookmarkEnd w:id="750"/>
      <w:bookmarkEnd w:id="751"/>
      <w:bookmarkEnd w:id="752"/>
      <w:bookmarkEnd w:id="753"/>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发挥钦州作为北部湾国际门户港、面向东盟、服务</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一带一路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、连接国内国际</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双循环</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新发展格局的战略优势，立足于国际旅游目的地体系构建，谋划好国际旅行社、文化娱乐等项目落地先行先试的前期工作，在中马免税商城、燕窝加工贸易基地、钦州保税港区国际商品直销中心的基础上，争取落地更加开放便利的免税购物政策，积极设立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东盟小额商品交易市场，发展</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以商带游、以游促商</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的商贸旅游模式，鼓励东盟企业来钦州市场投资、贸易，努力建设中国</w:t>
      </w:r>
      <w:r>
        <w:rPr>
          <w:rFonts w:hint="eastAsia" w:asciiTheme="minorEastAsia" w:hAnsiTheme="minorEastAsia" w:eastAsiaTheme="minorEastAsia" w:cstheme="minorEastAsia"/>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东盟国际旅游购物消费中心。</w:t>
      </w:r>
    </w:p>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tbl>
      <w:tblPr>
        <w:tblStyle w:val="24"/>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657" w:type="dxa"/>
            <w:vAlign w:val="center"/>
          </w:tcPr>
          <w:p>
            <w:pPr>
              <w:spacing w:line="480" w:lineRule="exact"/>
              <w:ind w:firstLine="562"/>
              <w:jc w:val="center"/>
              <w:rPr>
                <w:rFonts w:hint="default" w:ascii="Times New Roman" w:hAnsi="Times New Roman" w:eastAsia="方正仿宋_GBK" w:cs="Times New Roman"/>
                <w:b/>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专栏5-4 自贸试验区（钦州港片区）文旅消费平台建设工程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657" w:type="dxa"/>
            <w:vAlign w:val="center"/>
          </w:tcPr>
          <w:p>
            <w:pPr>
              <w:spacing w:line="480" w:lineRule="exact"/>
              <w:ind w:firstLine="562"/>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构建商贸旅游服务体系。</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积极落实离境免税、市内免税等政策，完善孔雀湾公园、中马免税商城、燕窝加工贸易基地等旅游公共服务功能，举办具有产业优势和地方特色的常设性展会和论坛，依托</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互联网营销师培训</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，探索网络主播带货等新兴业态，加快商贸旅游服务体系建设。</w:t>
            </w:r>
          </w:p>
          <w:p>
            <w:pPr>
              <w:spacing w:line="480" w:lineRule="exact"/>
              <w:ind w:firstLine="562"/>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建立文化艺术展示交易平台。</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构建集文化艺术创作、保税展示、鉴定评估、拍卖交易、仓储物流、教育培训等功能为一体的文化艺术品产业链，打造集文化艺术品经营机构、文艺家、收藏家、古董商、专业观众集聚的全球文化艺术作品展示交易平台。</w:t>
            </w:r>
          </w:p>
        </w:tc>
      </w:tr>
      <w:bookmarkEnd w:id="734"/>
      <w:bookmarkEnd w:id="735"/>
    </w:tbl>
    <w:p>
      <w:pPr>
        <w:pStyle w:val="4"/>
        <w:pageBreakBefore w:val="0"/>
        <w:widowControl w:val="0"/>
        <w:kinsoku/>
        <w:wordWrap/>
        <w:overflowPunct/>
        <w:topLinePunct w:val="0"/>
        <w:autoSpaceDE/>
        <w:autoSpaceDN/>
        <w:bidi w:val="0"/>
        <w:adjustRightInd/>
        <w:snapToGrid/>
        <w:spacing w:before="0" w:after="0" w:line="500" w:lineRule="exact"/>
        <w:ind w:firstLine="643"/>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754" w:name="_Toc672418806"/>
      <w:bookmarkStart w:id="755" w:name="_Toc1548370285"/>
      <w:bookmarkStart w:id="756" w:name="_Toc1922201159"/>
      <w:bookmarkStart w:id="757" w:name="_Toc15225"/>
      <w:bookmarkStart w:id="758" w:name="_Toc888261851"/>
      <w:r>
        <w:rPr>
          <w:rFonts w:hint="default" w:ascii="Times New Roman" w:hAnsi="Times New Roman" w:eastAsia="方正黑体_GBK" w:cs="Times New Roman"/>
          <w:b w:val="0"/>
          <w:bCs w:val="0"/>
          <w:color w:val="000000" w:themeColor="text1"/>
          <w:highlight w:val="none"/>
          <w14:textFill>
            <w14:solidFill>
              <w14:schemeClr w14:val="tx1"/>
            </w14:solidFill>
          </w14:textFill>
        </w:rPr>
        <w:t>五、实施智慧广电引领产媒融合工程</w:t>
      </w:r>
      <w:bookmarkEnd w:id="736"/>
      <w:bookmarkEnd w:id="737"/>
      <w:bookmarkEnd w:id="738"/>
      <w:bookmarkEnd w:id="754"/>
      <w:bookmarkEnd w:id="755"/>
      <w:bookmarkEnd w:id="756"/>
      <w:bookmarkEnd w:id="757"/>
      <w:bookmarkEnd w:id="758"/>
    </w:p>
    <w:p>
      <w:pPr>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依托智慧广电建设和应用，结合</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产业＋互联网</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产业＋科技</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融合发展，以文体旅消费产媒融合为突破口，通过智慧广电传播体系，对已经来到钦州的游客及本地休闲消费者，将钦州文化旅游体育消费项目各类信息作为广电与网络视听重点内容，以延长停留时间、刺激旅游消费、优化游客体验为目标，开展广播电视专项传播工作。</w:t>
      </w:r>
    </w:p>
    <w:tbl>
      <w:tblPr>
        <w:tblStyle w:val="2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00" w:type="dxa"/>
            <w:vAlign w:val="center"/>
          </w:tcPr>
          <w:p>
            <w:pPr>
              <w:ind w:firstLine="0" w:firstLineChars="0"/>
              <w:jc w:val="center"/>
              <w:rPr>
                <w:rFonts w:hint="default" w:ascii="Times New Roman" w:hAnsi="Times New Roman" w:eastAsia="方正仿宋_GBK" w:cs="Times New Roman"/>
                <w:b/>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专栏5-5 智慧广电引领的产媒融合工程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00" w:type="dxa"/>
            <w:vAlign w:val="center"/>
          </w:tcPr>
          <w:p>
            <w:pPr>
              <w:spacing w:line="480" w:lineRule="exact"/>
              <w:ind w:firstLine="562"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互联网营销师技能培训。</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引入互联网营销师新职业技能等级评价基地及培训合作单位，结合人力资源和社会保障工作，在钦州市培训一批符合文旅互联网营销师，邀请相关互联网营销师走进钦州，扎根钦州，营销钦州。</w:t>
            </w:r>
          </w:p>
          <w:p>
            <w:pPr>
              <w:spacing w:line="480" w:lineRule="exact"/>
              <w:ind w:firstLine="562" w:firstLineChars="0"/>
              <w:rPr>
                <w:rFonts w:hint="default" w:ascii="Times New Roman" w:hAnsi="Times New Roman" w:eastAsia="方正仿宋_GBK" w:cs="Times New Roman"/>
                <w:color w:val="000000" w:themeColor="text1"/>
                <w:sz w:val="24"/>
                <w:szCs w:val="21"/>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广电数字科技运用项目。</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推动广电数字技术在夜间文旅业态中的应用和创新，促进文化创意向旅游领域拓展。促进广电数字与社交电商、网络直播、短视频等在线新经济结合，发展旅游直播、旅游带货等线上内容生产新模式。</w:t>
            </w:r>
          </w:p>
        </w:tc>
      </w:tr>
    </w:tbl>
    <w:p>
      <w:pPr>
        <w:pStyle w:val="4"/>
        <w:pageBreakBefore w:val="0"/>
        <w:widowControl w:val="0"/>
        <w:kinsoku/>
        <w:wordWrap/>
        <w:overflowPunct/>
        <w:topLinePunct w:val="0"/>
        <w:autoSpaceDE/>
        <w:autoSpaceDN/>
        <w:bidi w:val="0"/>
        <w:adjustRightInd/>
        <w:snapToGrid/>
        <w:spacing w:before="0" w:after="0" w:line="500" w:lineRule="exact"/>
        <w:ind w:firstLine="643"/>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759" w:name="_Toc8488"/>
      <w:bookmarkStart w:id="760" w:name="_Toc389272797"/>
      <w:bookmarkStart w:id="761" w:name="_Toc1227"/>
      <w:bookmarkStart w:id="762" w:name="_Toc545670683"/>
      <w:bookmarkStart w:id="763" w:name="_Toc11068"/>
      <w:bookmarkStart w:id="764" w:name="_Toc354575697"/>
      <w:bookmarkStart w:id="765" w:name="_Toc80024402"/>
      <w:bookmarkStart w:id="766" w:name="_Toc808942850"/>
      <w:bookmarkStart w:id="767" w:name="_Hlk76749044"/>
      <w:r>
        <w:rPr>
          <w:rFonts w:hint="default" w:ascii="Times New Roman" w:hAnsi="Times New Roman" w:eastAsia="方正黑体_GBK" w:cs="Times New Roman"/>
          <w:b w:val="0"/>
          <w:bCs w:val="0"/>
          <w:color w:val="000000" w:themeColor="text1"/>
          <w:highlight w:val="none"/>
          <w14:textFill>
            <w14:solidFill>
              <w14:schemeClr w14:val="tx1"/>
            </w14:solidFill>
          </w14:textFill>
        </w:rPr>
        <w:t>六、实施休闲体育产业提升工程</w:t>
      </w:r>
      <w:bookmarkEnd w:id="759"/>
      <w:bookmarkEnd w:id="760"/>
      <w:bookmarkEnd w:id="761"/>
      <w:bookmarkEnd w:id="762"/>
      <w:bookmarkEnd w:id="763"/>
      <w:bookmarkEnd w:id="764"/>
      <w:bookmarkEnd w:id="765"/>
      <w:bookmarkEnd w:id="766"/>
    </w:p>
    <w:bookmarkEnd w:id="767"/>
    <w:p>
      <w:pPr>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围绕北部湾滨海休闲中心城市建设，开发沿海、沿山的体育休闲运动线路和体育旅游项目，支持海洋和丘陵山区体育旅游项目的优化布局</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与</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科学开发。以体育专业基地为基础，构建集体育训练、竞赛表演、健身休闲、体育培训、体育旅游观光于一体的体育旅游精品路线和景区，构建滑翔伞、漂流、滨海运动、滨湖运动、滨河运动等多层次体旅融合产品。建立以健身休闲、体育旅游、竞赛表演、体育培训、体育用品及相关产品制造为主</w:t>
      </w:r>
      <w:r>
        <w:rPr>
          <w:rFonts w:hint="default"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门类多样的休闲体育产业体系。</w:t>
      </w:r>
    </w:p>
    <w:tbl>
      <w:tblPr>
        <w:tblStyle w:val="2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500" w:type="dxa"/>
            <w:vAlign w:val="center"/>
          </w:tcPr>
          <w:p>
            <w:pPr>
              <w:ind w:firstLine="0" w:firstLineChars="0"/>
              <w:jc w:val="center"/>
              <w:rPr>
                <w:rFonts w:hint="default" w:ascii="Times New Roman" w:hAnsi="Times New Roman" w:eastAsia="方正仿宋_GBK" w:cs="Times New Roman"/>
                <w:b/>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color w:val="000000" w:themeColor="text1"/>
                <w:sz w:val="24"/>
                <w:szCs w:val="24"/>
                <w:highlight w:val="none"/>
                <w14:textFill>
                  <w14:solidFill>
                    <w14:schemeClr w14:val="tx1"/>
                  </w14:solidFill>
                </w14:textFill>
              </w:rPr>
              <w:t>专栏5-6 休闲体育产业融合提升工程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00" w:type="dxa"/>
            <w:vAlign w:val="center"/>
          </w:tcPr>
          <w:p>
            <w:pPr>
              <w:spacing w:line="480" w:lineRule="exact"/>
              <w:ind w:firstLine="562"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建设一批体育旅游示范基地。</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加快建设三娘湾、茅尾海休闲滨海体育项目，建设望海岭国际滑翔伞基地、八寨沟漂流、犀丽湾低空旅游休闲运动基地、石祖岭户外拓展基地、那雾山山地运动基地、五皇山山地康养运动基地、越州天湖滨湖运动基地、茅尾海生态体育公园、一江两岸体育运动公园等体育融合示范基地。</w:t>
            </w:r>
          </w:p>
          <w:p>
            <w:pPr>
              <w:spacing w:line="480" w:lineRule="exact"/>
              <w:ind w:firstLine="562"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创新开发</w:t>
            </w: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体育+美食+旅游</w:t>
            </w:r>
            <w:r>
              <w:rPr>
                <w:rFonts w:hint="eastAsia" w:ascii="Times New Roman" w:hAnsi="Times New Roman" w:eastAsia="方正仿宋_GBK"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强化钦州特色美食与体育、旅游的深度融合，积极推动世界冠军为钦州生蚝代言，强化生蚝对体育运动员的独特价值；开发</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蚝运会</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特色美食与体育旅游融合品牌，推动运动会场地与各大旅游景区、旅游度假区、休闲运动基地相融合。让参赛者（或游客）用脚步丈量钦州，用味蕾感受美食，让运动串联钦州旅游，让运动与美食相伴。</w:t>
            </w:r>
          </w:p>
          <w:p>
            <w:pPr>
              <w:spacing w:line="480" w:lineRule="exact"/>
              <w:ind w:firstLine="562" w:firstLineChars="0"/>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打造一批影响力大的国际体育赛事。</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在做好常态化疫情防控基础上，积极承办体育赛事，大力发展体育产业，推动疫情防控和体育事业协调发展。创新赛事运行机制，构建政府主导、市场化运营模式，创新开展北部湾滑翔伞国际邀请赛，积极扩大滑翔伞运动的国际影响力。巩固提升环广西公路自行车世界巡回赛、国际半程马拉赛等赛事品牌。</w:t>
            </w:r>
          </w:p>
        </w:tc>
      </w:tr>
    </w:tbl>
    <w:p>
      <w:pPr>
        <w:spacing w:line="240" w:lineRule="auto"/>
        <w:ind w:firstLine="420"/>
        <w:rPr>
          <w:rFonts w:ascii="Times New Roman" w:hAnsi="Times New Roman" w:eastAsia="黑体" w:cs="Times New Roman"/>
          <w:color w:val="000000" w:themeColor="text1"/>
          <w:sz w:val="21"/>
          <w:highlight w:val="none"/>
          <w14:textFill>
            <w14:solidFill>
              <w14:schemeClr w14:val="tx1"/>
            </w14:solidFill>
          </w14:textFill>
        </w:rPr>
      </w:pPr>
    </w:p>
    <w:p>
      <w:pPr>
        <w:widowControl/>
        <w:spacing w:line="240" w:lineRule="auto"/>
        <w:ind w:firstLine="0" w:firstLineChars="0"/>
        <w:jc w:val="left"/>
        <w:rPr>
          <w:rFonts w:ascii="Times New Roman" w:hAnsi="Times New Roman" w:eastAsia="黑体" w:cs="Times New Roman"/>
          <w:b/>
          <w:bCs/>
          <w:color w:val="000000" w:themeColor="text1"/>
          <w:kern w:val="44"/>
          <w:sz w:val="44"/>
          <w:szCs w:val="44"/>
          <w:highlight w:val="none"/>
          <w14:textFill>
            <w14:solidFill>
              <w14:schemeClr w14:val="tx1"/>
            </w14:solidFill>
          </w14:textFill>
        </w:rPr>
      </w:pPr>
      <w:r>
        <w:rPr>
          <w:rFonts w:ascii="Times New Roman" w:hAnsi="Times New Roman" w:cs="Times New Roman"/>
          <w:color w:val="000000" w:themeColor="text1"/>
          <w:szCs w:val="44"/>
          <w:highlight w:val="none"/>
          <w14:textFill>
            <w14:solidFill>
              <w14:schemeClr w14:val="tx1"/>
            </w14:solidFill>
          </w14:textFill>
        </w:rPr>
        <w:br w:type="page"/>
      </w:r>
    </w:p>
    <w:p>
      <w:pPr>
        <w:pStyle w:val="29"/>
        <w:spacing w:before="190" w:beforeLines="50" w:after="190" w:afterLines="50"/>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pPr>
      <w:bookmarkStart w:id="768" w:name="_Toc290608211"/>
      <w:bookmarkStart w:id="769" w:name="_Toc1065156895"/>
      <w:bookmarkStart w:id="770" w:name="_Toc1952493718"/>
      <w:bookmarkStart w:id="771" w:name="_Toc2082272398"/>
      <w:bookmarkStart w:id="772" w:name="_Toc17572"/>
      <w:r>
        <w:rPr>
          <w:rFonts w:hint="eastAsia" w:ascii="方正小标宋_GBK" w:hAnsi="方正小标宋_GBK" w:eastAsia="方正小标宋_GBK" w:cs="方正小标宋_GBK"/>
          <w:b w:val="0"/>
          <w:bCs w:val="0"/>
          <w:color w:val="000000" w:themeColor="text1"/>
          <w:szCs w:val="44"/>
          <w:highlight w:val="none"/>
          <w14:textFill>
            <w14:solidFill>
              <w14:schemeClr w14:val="tx1"/>
            </w14:solidFill>
          </w14:textFill>
        </w:rPr>
        <w:t>第六章  保障措施</w:t>
      </w:r>
      <w:bookmarkEnd w:id="723"/>
      <w:bookmarkEnd w:id="768"/>
      <w:bookmarkEnd w:id="769"/>
      <w:bookmarkEnd w:id="770"/>
      <w:bookmarkEnd w:id="771"/>
      <w:bookmarkEnd w:id="772"/>
    </w:p>
    <w:p>
      <w:pPr>
        <w:spacing w:line="240" w:lineRule="auto"/>
        <w:ind w:firstLine="420"/>
        <w:rPr>
          <w:rFonts w:ascii="Times New Roman" w:hAnsi="Times New Roman" w:eastAsia="黑体" w:cs="Times New Roman"/>
          <w:color w:val="000000" w:themeColor="text1"/>
          <w:sz w:val="21"/>
          <w:szCs w:val="24"/>
          <w:highlight w:val="none"/>
          <w14:textFill>
            <w14:solidFill>
              <w14:schemeClr w14:val="tx1"/>
            </w14:solidFill>
          </w14:textFill>
        </w:rPr>
      </w:pPr>
    </w:p>
    <w:p>
      <w:pPr>
        <w:pStyle w:val="4"/>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773" w:name="_Toc689142900"/>
      <w:bookmarkStart w:id="774" w:name="_Toc80024404"/>
      <w:bookmarkStart w:id="775" w:name="_Toc84945403"/>
      <w:bookmarkStart w:id="776" w:name="_Toc942229166"/>
      <w:bookmarkStart w:id="777" w:name="_Toc30594"/>
      <w:bookmarkStart w:id="778" w:name="_Toc1117501016"/>
      <w:bookmarkStart w:id="779" w:name="_Toc280563439"/>
      <w:r>
        <w:rPr>
          <w:rFonts w:hint="default" w:ascii="Times New Roman" w:hAnsi="Times New Roman" w:eastAsia="方正黑体_GBK" w:cs="Times New Roman"/>
          <w:b w:val="0"/>
          <w:bCs w:val="0"/>
          <w:color w:val="000000" w:themeColor="text1"/>
          <w:highlight w:val="none"/>
          <w14:textFill>
            <w14:solidFill>
              <w14:schemeClr w14:val="tx1"/>
            </w14:solidFill>
          </w14:textFill>
        </w:rPr>
        <w:t>一、强化组织领导</w:t>
      </w:r>
      <w:bookmarkEnd w:id="773"/>
      <w:bookmarkEnd w:id="774"/>
      <w:bookmarkEnd w:id="775"/>
      <w:bookmarkEnd w:id="776"/>
      <w:bookmarkEnd w:id="777"/>
      <w:bookmarkEnd w:id="778"/>
      <w:bookmarkEnd w:id="779"/>
    </w:p>
    <w:p>
      <w:pPr>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坚持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文化广电体育旅游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发展的正确方向，充分发挥市级</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文化广电体育旅游</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各类领导小组作用，推动文化事业、文化产业、旅游业、体育业、广电事业发展纳入各级党委政府重要议事日程，与经济社会发展任务统一部署、规划和实施。切实加强宏观指导和管理，建立健全政府组织实施、各级部门具体落实、政府相关职能部门密切配合的协同推进工作机制，充分发挥部门职能和工作积极性，形成推动发展的强大合力。</w:t>
      </w:r>
    </w:p>
    <w:p>
      <w:pPr>
        <w:pStyle w:val="4"/>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780" w:name="_Toc56427476"/>
      <w:bookmarkStart w:id="781" w:name="_Toc56470344"/>
      <w:bookmarkStart w:id="782" w:name="_Toc56471984"/>
      <w:bookmarkStart w:id="783" w:name="_Toc78041586"/>
      <w:bookmarkStart w:id="784" w:name="_Toc84945404"/>
      <w:bookmarkStart w:id="785" w:name="_Toc235933972"/>
      <w:bookmarkStart w:id="786" w:name="_Toc1508946222"/>
      <w:bookmarkStart w:id="787" w:name="_Toc79306128"/>
      <w:bookmarkStart w:id="788" w:name="_Toc30243"/>
      <w:bookmarkStart w:id="789" w:name="_Toc80024405"/>
      <w:bookmarkStart w:id="790" w:name="_Toc297576871"/>
      <w:r>
        <w:rPr>
          <w:rFonts w:hint="default" w:ascii="Times New Roman" w:hAnsi="Times New Roman" w:eastAsia="方正黑体_GBK" w:cs="Times New Roman"/>
          <w:b w:val="0"/>
          <w:bCs w:val="0"/>
          <w:color w:val="000000" w:themeColor="text1"/>
          <w:highlight w:val="none"/>
          <w14:textFill>
            <w14:solidFill>
              <w14:schemeClr w14:val="tx1"/>
            </w14:solidFill>
          </w14:textFill>
        </w:rPr>
        <w:t>二、</w:t>
      </w:r>
      <w:bookmarkEnd w:id="780"/>
      <w:bookmarkEnd w:id="781"/>
      <w:bookmarkEnd w:id="782"/>
      <w:r>
        <w:rPr>
          <w:rFonts w:hint="default" w:ascii="Times New Roman" w:hAnsi="Times New Roman" w:eastAsia="方正黑体_GBK" w:cs="Times New Roman"/>
          <w:b w:val="0"/>
          <w:bCs w:val="0"/>
          <w:color w:val="000000" w:themeColor="text1"/>
          <w:highlight w:val="none"/>
          <w14:textFill>
            <w14:solidFill>
              <w14:schemeClr w14:val="tx1"/>
            </w14:solidFill>
          </w14:textFill>
        </w:rPr>
        <w:t>深化机制改革</w:t>
      </w:r>
      <w:bookmarkEnd w:id="783"/>
      <w:bookmarkEnd w:id="784"/>
      <w:bookmarkEnd w:id="785"/>
      <w:bookmarkEnd w:id="786"/>
      <w:bookmarkEnd w:id="787"/>
      <w:bookmarkEnd w:id="788"/>
      <w:bookmarkEnd w:id="789"/>
      <w:bookmarkEnd w:id="790"/>
    </w:p>
    <w:p>
      <w:pPr>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深化文化广电体育和旅游体制机制改革，强化文化广电体育旅游融合发展与统筹协调机制，完善公共服务融合机制，健全文化企事业单位体制机制，推动文旅相关国有企业混合所有制改革，开展国有文艺院团文旅融合改革试点。完善文化遗产保护、传承和利用机制，推动文物保护和非遗资源数字化管理，加强对非遗传承项目和传承人的动态管理，建立完善的非遗传承机制。建立乡村发展协作机制，联合有关部门在休闲乡村建设、旅游公路建设、智慧广电工程建设、乡村基础设施建设等方面进行协作。</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深化以在文广体旅领域落实《中共中央 国务院关于构建更加完善的要素市场化配置体制机制的意见》为重点的体制机制改革，推动文化广电旅游体育项目用海用地、人才、科技等要素市场化改革。</w:t>
      </w:r>
    </w:p>
    <w:p>
      <w:pPr>
        <w:pStyle w:val="4"/>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791" w:name="_Toc78041587"/>
      <w:bookmarkStart w:id="792" w:name="_Toc80024406"/>
      <w:bookmarkStart w:id="793" w:name="_Toc2052605894"/>
      <w:bookmarkStart w:id="794" w:name="_Toc9985"/>
      <w:bookmarkStart w:id="795" w:name="_Toc768371567"/>
      <w:bookmarkStart w:id="796" w:name="_Toc84945405"/>
      <w:bookmarkStart w:id="797" w:name="_Toc2067132090"/>
      <w:bookmarkStart w:id="798" w:name="_Toc520344663"/>
      <w:r>
        <w:rPr>
          <w:rFonts w:hint="default" w:ascii="Times New Roman" w:hAnsi="Times New Roman" w:eastAsia="方正黑体_GBK" w:cs="Times New Roman"/>
          <w:b w:val="0"/>
          <w:bCs w:val="0"/>
          <w:color w:val="000000" w:themeColor="text1"/>
          <w:highlight w:val="none"/>
          <w14:textFill>
            <w14:solidFill>
              <w14:schemeClr w14:val="tx1"/>
            </w14:solidFill>
          </w14:textFill>
        </w:rPr>
        <w:t>三、</w:t>
      </w:r>
      <w:bookmarkEnd w:id="791"/>
      <w:bookmarkEnd w:id="792"/>
      <w:r>
        <w:rPr>
          <w:rFonts w:hint="default" w:ascii="Times New Roman" w:hAnsi="Times New Roman" w:eastAsia="方正黑体_GBK" w:cs="Times New Roman"/>
          <w:b w:val="0"/>
          <w:bCs w:val="0"/>
          <w:color w:val="000000" w:themeColor="text1"/>
          <w:highlight w:val="none"/>
          <w14:textFill>
            <w14:solidFill>
              <w14:schemeClr w14:val="tx1"/>
            </w14:solidFill>
          </w14:textFill>
        </w:rPr>
        <w:t>完善政策法规</w:t>
      </w:r>
      <w:bookmarkEnd w:id="793"/>
      <w:bookmarkEnd w:id="794"/>
      <w:bookmarkEnd w:id="795"/>
      <w:bookmarkEnd w:id="796"/>
      <w:bookmarkEnd w:id="797"/>
      <w:bookmarkEnd w:id="798"/>
    </w:p>
    <w:p>
      <w:pPr>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bookmarkStart w:id="799" w:name="_Toc15317"/>
      <w:bookmarkStart w:id="800" w:name="_Toc53071338"/>
      <w:bookmarkStart w:id="801" w:name="_Toc50625353"/>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邀请国家、自治区相关领域著名专家，研究国家、自治区文体旅发展相关政策在钦州的应用范围，出台《钦州市加快文化旅游业高质量发展的若干扶持政策（试行）》，持续完善相关策略，全面</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落实具体措施，打造全国文体旅产业的</w:t>
      </w:r>
      <w:r>
        <w:rPr>
          <w:rFonts w:hint="eastAsia" w:ascii="Times New Roman" w:hAnsi="Times New Roman" w:eastAsia="方正仿宋_GBK" w:cs="Times New Roman"/>
          <w:color w:val="000000" w:themeColor="text1"/>
          <w:spacing w:val="6"/>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政策高地</w:t>
      </w:r>
      <w:r>
        <w:rPr>
          <w:rFonts w:hint="eastAsia" w:ascii="Times New Roman" w:hAnsi="Times New Roman" w:eastAsia="方正仿宋_GBK" w:cs="Times New Roman"/>
          <w:color w:val="000000" w:themeColor="text1"/>
          <w:spacing w:val="6"/>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和</w:t>
      </w:r>
      <w:r>
        <w:rPr>
          <w:rFonts w:hint="eastAsia" w:ascii="Times New Roman" w:hAnsi="Times New Roman" w:eastAsia="方正仿宋_GBK" w:cs="Times New Roman"/>
          <w:color w:val="000000" w:themeColor="text1"/>
          <w:spacing w:val="6"/>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成本洼地</w:t>
      </w:r>
      <w:r>
        <w:rPr>
          <w:rFonts w:hint="eastAsia" w:ascii="Times New Roman" w:hAnsi="Times New Roman" w:eastAsia="方正仿宋_GBK" w:cs="Times New Roman"/>
          <w:color w:val="000000" w:themeColor="text1"/>
          <w:spacing w:val="6"/>
          <w:kern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6"/>
          <w:kern w:val="0"/>
          <w:sz w:val="32"/>
          <w:szCs w:val="32"/>
          <w:highlight w:val="none"/>
          <w14:textFill>
            <w14:solidFill>
              <w14:schemeClr w14:val="tx1"/>
            </w14:solidFill>
          </w14:textFill>
        </w:rPr>
        <w:t>。</w:t>
      </w:r>
    </w:p>
    <w:bookmarkEnd w:id="799"/>
    <w:bookmarkEnd w:id="800"/>
    <w:bookmarkEnd w:id="801"/>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bookmarkStart w:id="802" w:name="_Toc50625354"/>
      <w:bookmarkStart w:id="803" w:name="_Toc53071339"/>
      <w:bookmarkStart w:id="804" w:name="_Toc16812"/>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多元投入政策。</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统筹整合文化、旅游、体育、广电发展资金，强化财政对文广体旅领域发展的支持。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拓宽投融资渠道，推动</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文化广电体育旅游</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与金融深化合作，推动各类金融机构加大对</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文化广电体育旅游</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基础设施和产业项目的金融支持。</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拓宽社会参与渠道，坚持政府主导、多元投入，发挥好各级政府资金和优惠政策的引导作用，以市场为导向，加大招商引资力度，引进社会资本，推动文化广电体育旅游领域加快发展。</w:t>
      </w:r>
    </w:p>
    <w:p>
      <w:pPr>
        <w:spacing w:line="540" w:lineRule="exact"/>
        <w:ind w:firstLine="643"/>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用海用地政策。</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落实国家促进文化旅游发展的各项用地政策，进一步探索建立更契合实际的供地方式。优化海域及岸线利用政策，支持和保障重大涉海文化旅游体育项目建设。</w:t>
      </w:r>
    </w:p>
    <w:p>
      <w:pPr>
        <w:spacing w:line="540" w:lineRule="exact"/>
        <w:ind w:firstLine="643"/>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免税购物政策</w:t>
      </w:r>
      <w:bookmarkEnd w:id="802"/>
      <w:bookmarkEnd w:id="803"/>
      <w:bookmarkEnd w:id="804"/>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以自贸区为依托，积极申请出入境免税店、离岛免税店等牌照。推动具有免税店牌照企业落户钦州。积极探索落地</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市内免税店</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政策，进一步释放旅游购物消费潜力。</w:t>
      </w:r>
    </w:p>
    <w:p>
      <w:pPr>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专项扶持政策。</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推出酒店式公寓产权政策、民宿扶持与管理政策、邮轮游艇及水上休闲运动促进政策等专项政策。</w:t>
      </w:r>
    </w:p>
    <w:p>
      <w:pPr>
        <w:pStyle w:val="4"/>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805" w:name="_Toc719771415"/>
      <w:bookmarkStart w:id="806" w:name="_Toc1753121203"/>
      <w:bookmarkStart w:id="807" w:name="_Toc1186261532"/>
      <w:bookmarkStart w:id="808" w:name="_Toc84945406"/>
      <w:bookmarkStart w:id="809" w:name="_Toc1929422002"/>
      <w:bookmarkStart w:id="810" w:name="_Toc80024407"/>
      <w:bookmarkStart w:id="811" w:name="_Toc30417"/>
      <w:r>
        <w:rPr>
          <w:rFonts w:hint="default" w:ascii="Times New Roman" w:hAnsi="Times New Roman" w:eastAsia="方正黑体_GBK" w:cs="Times New Roman"/>
          <w:b w:val="0"/>
          <w:bCs w:val="0"/>
          <w:color w:val="000000" w:themeColor="text1"/>
          <w:highlight w:val="none"/>
          <w14:textFill>
            <w14:solidFill>
              <w14:schemeClr w14:val="tx1"/>
            </w14:solidFill>
          </w14:textFill>
        </w:rPr>
        <w:t>四、加强人才保障</w:t>
      </w:r>
      <w:bookmarkEnd w:id="805"/>
      <w:bookmarkEnd w:id="806"/>
      <w:bookmarkEnd w:id="807"/>
      <w:bookmarkEnd w:id="808"/>
      <w:bookmarkEnd w:id="809"/>
      <w:bookmarkEnd w:id="810"/>
      <w:bookmarkEnd w:id="811"/>
    </w:p>
    <w:p>
      <w:pPr>
        <w:pageBreakBefore w:val="0"/>
        <w:widowControl w:val="0"/>
        <w:kinsoku/>
        <w:wordWrap/>
        <w:overflowPunct/>
        <w:topLinePunct w:val="0"/>
        <w:autoSpaceDE/>
        <w:autoSpaceDN/>
        <w:bidi w:val="0"/>
        <w:adjustRightInd/>
        <w:snapToGrid/>
        <w:spacing w:line="500" w:lineRule="exact"/>
        <w:ind w:firstLine="640"/>
        <w:textAlignment w:val="auto"/>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pPr>
      <w:bookmarkStart w:id="812" w:name="_Toc57242128"/>
      <w:bookmarkStart w:id="813" w:name="_Toc58426388"/>
      <w:bookmarkStart w:id="814" w:name="_Toc84945407"/>
      <w:bookmarkStart w:id="815" w:name="_Toc78041589"/>
      <w:bookmarkStart w:id="816" w:name="_Toc80024408"/>
      <w:r>
        <w:rPr>
          <w:rFonts w:hint="default" w:ascii="Times New Roman" w:hAnsi="Times New Roman" w:eastAsia="方正仿宋_GBK" w:cs="Times New Roman"/>
          <w:color w:val="000000" w:themeColor="text1"/>
          <w:sz w:val="32"/>
          <w:szCs w:val="32"/>
          <w:highlight w:val="none"/>
          <w14:textFill>
            <w14:solidFill>
              <w14:schemeClr w14:val="tx1"/>
            </w14:solidFill>
          </w14:textFill>
        </w:rPr>
        <w:t>加大人才培养力度。</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围绕培养人才、提升从业人员素质，强化对高端旅游管理人才、精品民宿、三馆（博物馆、文化馆、图书馆）人才、非遗人才、演艺人才、广播电视技术能手、体育人才等的培养。</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通过与区内外知名院校合作，</w:t>
      </w:r>
      <w:r>
        <w:rPr>
          <w:rFonts w:hint="default" w:ascii="Times New Roman" w:hAnsi="Times New Roman" w:eastAsia="方正仿宋_GBK" w:cs="Times New Roman"/>
          <w:color w:val="000000" w:themeColor="text1"/>
          <w:sz w:val="32"/>
          <w:szCs w:val="32"/>
          <w:highlight w:val="none"/>
          <w:lang w:bidi="ar"/>
          <w14:textFill>
            <w14:solidFill>
              <w14:schemeClr w14:val="tx1"/>
            </w14:solidFill>
          </w14:textFill>
        </w:rPr>
        <w:t>培养本土人才，</w:t>
      </w: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充分利用北部湾大学、体育学校以及其他相关职业学校的办学优势，鼓励本地学校开展校地合作和对外教学、科研、培训合作。同时可聘请相关专业的教授、学者、企业管理专家加强对钦州市文广体旅从业人员的培训。</w:t>
      </w:r>
    </w:p>
    <w:p>
      <w:pPr>
        <w:pStyle w:val="19"/>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t>建立专家智慧库。探索建立由文化、广电、体育、旅游等领域专家组成的咨询智慧库。邀请景区管理、旅游饭店运营、宣传营销、旅游文化创意、广播网络视听、体育等方面的高层次专家担任行政决策专家，为钦州市文广体旅行业高质量发展提供智力支撑。</w:t>
      </w:r>
    </w:p>
    <w:p>
      <w:pPr>
        <w:pStyle w:val="4"/>
        <w:pageBreakBefore w:val="0"/>
        <w:widowControl w:val="0"/>
        <w:kinsoku/>
        <w:wordWrap/>
        <w:overflowPunct/>
        <w:topLinePunct w:val="0"/>
        <w:autoSpaceDE/>
        <w:autoSpaceDN/>
        <w:bidi w:val="0"/>
        <w:adjustRightInd/>
        <w:snapToGrid/>
        <w:spacing w:before="0" w:after="0" w:line="500" w:lineRule="exact"/>
        <w:ind w:firstLine="643"/>
        <w:jc w:val="left"/>
        <w:textAlignment w:val="auto"/>
        <w:rPr>
          <w:rFonts w:hint="default" w:ascii="Times New Roman" w:hAnsi="Times New Roman" w:eastAsia="方正黑体_GBK" w:cs="Times New Roman"/>
          <w:b w:val="0"/>
          <w:bCs w:val="0"/>
          <w:color w:val="000000" w:themeColor="text1"/>
          <w:highlight w:val="none"/>
          <w14:textFill>
            <w14:solidFill>
              <w14:schemeClr w14:val="tx1"/>
            </w14:solidFill>
          </w14:textFill>
        </w:rPr>
      </w:pPr>
      <w:bookmarkStart w:id="817" w:name="_Toc1057315873"/>
      <w:bookmarkStart w:id="818" w:name="_Toc26135"/>
      <w:bookmarkStart w:id="819" w:name="_Toc1376805126"/>
      <w:bookmarkStart w:id="820" w:name="_Toc758683898"/>
      <w:bookmarkStart w:id="821" w:name="_Toc822779641"/>
      <w:r>
        <w:rPr>
          <w:rFonts w:hint="default" w:ascii="Times New Roman" w:hAnsi="Times New Roman" w:eastAsia="方正黑体_GBK" w:cs="Times New Roman"/>
          <w:b w:val="0"/>
          <w:bCs w:val="0"/>
          <w:color w:val="000000" w:themeColor="text1"/>
          <w:highlight w:val="none"/>
          <w14:textFill>
            <w14:solidFill>
              <w14:schemeClr w14:val="tx1"/>
            </w14:solidFill>
          </w14:textFill>
        </w:rPr>
        <w:t>五、</w:t>
      </w:r>
      <w:bookmarkEnd w:id="812"/>
      <w:r>
        <w:rPr>
          <w:rFonts w:hint="default" w:ascii="Times New Roman" w:hAnsi="Times New Roman" w:eastAsia="方正黑体_GBK" w:cs="Times New Roman"/>
          <w:b w:val="0"/>
          <w:bCs w:val="0"/>
          <w:color w:val="000000" w:themeColor="text1"/>
          <w:highlight w:val="none"/>
          <w14:textFill>
            <w14:solidFill>
              <w14:schemeClr w14:val="tx1"/>
            </w14:solidFill>
          </w14:textFill>
        </w:rPr>
        <w:t>强化</w:t>
      </w:r>
      <w:bookmarkEnd w:id="813"/>
      <w:r>
        <w:rPr>
          <w:rFonts w:hint="default" w:ascii="Times New Roman" w:hAnsi="Times New Roman" w:eastAsia="方正黑体_GBK" w:cs="Times New Roman"/>
          <w:b w:val="0"/>
          <w:bCs w:val="0"/>
          <w:color w:val="000000" w:themeColor="text1"/>
          <w:highlight w:val="none"/>
          <w14:textFill>
            <w14:solidFill>
              <w14:schemeClr w14:val="tx1"/>
            </w14:solidFill>
          </w14:textFill>
        </w:rPr>
        <w:t>监督考核</w:t>
      </w:r>
      <w:bookmarkEnd w:id="814"/>
      <w:bookmarkEnd w:id="815"/>
      <w:bookmarkEnd w:id="816"/>
      <w:bookmarkEnd w:id="817"/>
      <w:bookmarkEnd w:id="818"/>
      <w:bookmarkEnd w:id="819"/>
      <w:bookmarkEnd w:id="820"/>
      <w:bookmarkEnd w:id="821"/>
    </w:p>
    <w:p>
      <w:pPr>
        <w:pageBreakBefore w:val="0"/>
        <w:widowControl w:val="0"/>
        <w:kinsoku/>
        <w:wordWrap/>
        <w:overflowPunct/>
        <w:topLinePunct w:val="0"/>
        <w:autoSpaceDE/>
        <w:autoSpaceDN/>
        <w:bidi w:val="0"/>
        <w:adjustRightInd/>
        <w:snapToGrid/>
        <w:spacing w:line="500" w:lineRule="exact"/>
        <w:ind w:firstLine="643"/>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实施规划评估。</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各级相关部门做好规划任务分解和督查落实，制定实施方案，强化监督，明确责任主体。明确重大工程和重大项目的责任主体</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及</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实施进度。对规划实施情况进行动态监测和跟踪分析，加强年度评估、中期评估、终期评估，及时发现并解决问题，确保圆满完成规划预定目标。</w:t>
      </w:r>
    </w:p>
    <w:p>
      <w:pPr>
        <w:spacing w:line="540" w:lineRule="exact"/>
        <w:ind w:firstLine="643"/>
        <w:rPr>
          <w:rFonts w:hint="default" w:ascii="Times New Roman" w:hAnsi="Times New Roman" w:eastAsia="方正仿宋_GBK" w:cs="Times New Roman"/>
          <w:color w:val="000000" w:themeColor="text1"/>
          <w:kern w:val="0"/>
          <w:sz w:val="32"/>
          <w:szCs w:val="32"/>
          <w:highlight w:val="none"/>
          <w14:textFill>
            <w14:solidFill>
              <w14:schemeClr w14:val="tx1"/>
            </w14:solidFill>
          </w14:textFill>
        </w:rPr>
        <w:sectPr>
          <w:headerReference r:id="rId7" w:type="default"/>
          <w:footerReference r:id="rId8" w:type="default"/>
          <w:pgSz w:w="11906" w:h="16838"/>
          <w:pgMar w:top="2098" w:right="1531" w:bottom="1304" w:left="1531" w:header="851" w:footer="992" w:gutter="0"/>
          <w:pgNumType w:fmt="decimal"/>
          <w:cols w:space="425" w:num="1"/>
          <w:docGrid w:type="lines" w:linePitch="381" w:charSpace="0"/>
        </w:sectPr>
      </w:pPr>
      <w:r>
        <w:rPr>
          <w:rFonts w:hint="default" w:ascii="Times New Roman" w:hAnsi="Times New Roman" w:eastAsia="方正仿宋_GBK" w:cs="Times New Roman"/>
          <w:b/>
          <w:bCs/>
          <w:color w:val="000000" w:themeColor="text1"/>
          <w:sz w:val="32"/>
          <w:szCs w:val="32"/>
          <w:highlight w:val="none"/>
          <w14:textFill>
            <w14:solidFill>
              <w14:schemeClr w14:val="tx1"/>
            </w14:solidFill>
          </w14:textFill>
        </w:rPr>
        <w:t>建立考评机制。</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建立发展目标任务考评机制，把绩效考核结果作为评价各级部门主要领导干部实绩的参考；对推进文化广电旅游体育发展贡献突出、成绩显著的部门和个人，按照相关规定给予表彰奖励。</w:t>
      </w:r>
    </w:p>
    <w:p>
      <w:pPr>
        <w:pStyle w:val="29"/>
        <w:spacing w:before="120" w:after="120" w:line="560" w:lineRule="exact"/>
        <w:jc w:val="left"/>
        <w:rPr>
          <w:rFonts w:hint="default" w:ascii="Times New Roman" w:hAnsi="Times New Roman" w:eastAsia="方正仿宋_GBK" w:cs="Times New Roman"/>
          <w:b w:val="0"/>
          <w:bCs w:val="0"/>
          <w:color w:val="000000" w:themeColor="text1"/>
          <w:sz w:val="32"/>
          <w:szCs w:val="24"/>
          <w:highlight w:val="none"/>
          <w14:textFill>
            <w14:solidFill>
              <w14:schemeClr w14:val="tx1"/>
            </w14:solidFill>
          </w14:textFill>
        </w:rPr>
      </w:pPr>
      <w:bookmarkStart w:id="822" w:name="_Toc402108684"/>
      <w:bookmarkStart w:id="823" w:name="_Toc84945408"/>
      <w:bookmarkStart w:id="824" w:name="_Toc10834"/>
      <w:bookmarkStart w:id="825" w:name="_Toc37859489"/>
      <w:bookmarkStart w:id="826" w:name="_Toc219811665"/>
      <w:bookmarkStart w:id="827" w:name="_Toc833464573"/>
      <w:bookmarkStart w:id="828" w:name="_Toc77716508"/>
      <w:bookmarkStart w:id="829" w:name="_Toc80024409"/>
      <w:bookmarkStart w:id="830" w:name="_Toc62549544"/>
      <w:bookmarkStart w:id="831" w:name="_Toc59610722"/>
      <w:r>
        <w:rPr>
          <w:sz w:val="24"/>
        </w:rPr>
        <mc:AlternateContent>
          <mc:Choice Requires="wps">
            <w:drawing>
              <wp:anchor distT="0" distB="0" distL="114300" distR="114300" simplePos="0" relativeHeight="251665408" behindDoc="0" locked="0" layoutInCell="1" allowOverlap="1">
                <wp:simplePos x="0" y="0"/>
                <wp:positionH relativeFrom="column">
                  <wp:posOffset>-816610</wp:posOffset>
                </wp:positionH>
                <wp:positionV relativeFrom="paragraph">
                  <wp:posOffset>98425</wp:posOffset>
                </wp:positionV>
                <wp:extent cx="1170940" cy="447040"/>
                <wp:effectExtent l="0" t="0" r="10160" b="10160"/>
                <wp:wrapSquare wrapText="bothSides"/>
                <wp:docPr id="32" name="文本框 32"/>
                <wp:cNvGraphicFramePr/>
                <a:graphic xmlns:a="http://schemas.openxmlformats.org/drawingml/2006/main">
                  <a:graphicData uri="http://schemas.microsoft.com/office/word/2010/wordprocessingShape">
                    <wps:wsp>
                      <wps:cNvSpPr txBox="true"/>
                      <wps:spPr>
                        <a:xfrm rot="5400000">
                          <a:off x="0" y="0"/>
                          <a:ext cx="1170940"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eastAsia" w:ascii="Times New Roman" w:hAnsi="Times New Roman" w:eastAsia="方正仿宋_GBK" w:cs="Times New Roman"/>
                                <w:sz w:val="28"/>
                                <w:szCs w:val="28"/>
                                <w:lang w:val="en-US" w:eastAsia="zh-CN"/>
                              </w:rPr>
                              <w:t>98</w:t>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4.3pt;margin-top:7.75pt;height:35.2pt;width:92.2pt;mso-wrap-distance-bottom:0pt;mso-wrap-distance-left:9pt;mso-wrap-distance-right:9pt;mso-wrap-distance-top:0pt;rotation:5898240f;z-index:251665408;mso-width-relative:page;mso-height-relative:page;" fillcolor="#FFFFFF [3201]" filled="t" stroked="f" coordsize="21600,21600" o:gfxdata="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4MOBL9kA&#10;AAAJAQAADwAAAAAAAAABACAAAAA4AAAAZHJzL2Rvd25yZXYueG1sUEsBAhQAFAAAAAgAh07iQHMs&#10;DZdBAgAAYwQAAA4AAAAAAAAAAQAgAAAAPgEAAGRycy9lMm9Eb2MueG1sUEsFBgAAAAAGAAYAWQEA&#10;APEFAAAAAA==&#10;">
                <v:fill on="t" focussize="0,0"/>
                <v:stroke on="f" weight="0.5pt"/>
                <v:imagedata o:title=""/>
                <o:lock v:ext="edit" aspectratio="f"/>
                <v:textbo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eastAsia" w:ascii="Times New Roman" w:hAnsi="Times New Roman" w:eastAsia="方正仿宋_GBK" w:cs="Times New Roman"/>
                          <w:sz w:val="28"/>
                          <w:szCs w:val="28"/>
                          <w:lang w:val="en-US" w:eastAsia="zh-CN"/>
                        </w:rPr>
                        <w:t>98</w:t>
                      </w:r>
                      <w:r>
                        <w:rPr>
                          <w:rFonts w:hint="eastAsia" w:asciiTheme="minorEastAsia" w:hAnsiTheme="minorEastAsia" w:eastAsiaTheme="minorEastAsia" w:cstheme="minorEastAsia"/>
                          <w:sz w:val="28"/>
                          <w:szCs w:val="28"/>
                          <w:lang w:eastAsia="zh-CN"/>
                        </w:rPr>
                        <w:t>－</w:t>
                      </w:r>
                    </w:p>
                    <w:p/>
                  </w:txbxContent>
                </v:textbox>
                <w10:wrap type="square"/>
              </v:shape>
            </w:pict>
          </mc:Fallback>
        </mc:AlternateContent>
      </w:r>
      <w:r>
        <w:rPr>
          <w:rFonts w:hint="eastAsia" w:ascii="方正黑体_GBK" w:hAnsi="方正黑体_GBK" w:eastAsia="方正黑体_GBK" w:cs="方正黑体_GBK"/>
          <w:b w:val="0"/>
          <w:bCs w:val="0"/>
          <w:color w:val="000000" w:themeColor="text1"/>
          <w:sz w:val="32"/>
          <w:szCs w:val="24"/>
          <w:highlight w:val="none"/>
          <w14:textFill>
            <w14:solidFill>
              <w14:schemeClr w14:val="tx1"/>
            </w14:solidFill>
          </w14:textFill>
        </w:rPr>
        <w:t>附件</w:t>
      </w:r>
      <w:r>
        <w:rPr>
          <w:rFonts w:hint="default" w:ascii="Times New Roman" w:hAnsi="Times New Roman" w:eastAsia="方正仿宋_GBK" w:cs="Times New Roman"/>
          <w:b w:val="0"/>
          <w:bCs w:val="0"/>
          <w:color w:val="000000" w:themeColor="text1"/>
          <w:sz w:val="32"/>
          <w:szCs w:val="24"/>
          <w:highlight w:val="none"/>
          <w14:textFill>
            <w14:solidFill>
              <w14:schemeClr w14:val="tx1"/>
            </w14:solidFill>
          </w14:textFill>
        </w:rPr>
        <w:t>1</w:t>
      </w:r>
      <w:bookmarkEnd w:id="822"/>
      <w:bookmarkEnd w:id="823"/>
      <w:bookmarkEnd w:id="824"/>
      <w:bookmarkEnd w:id="825"/>
      <w:bookmarkEnd w:id="826"/>
      <w:bookmarkEnd w:id="827"/>
    </w:p>
    <w:p>
      <w:pPr>
        <w:pStyle w:val="29"/>
        <w:spacing w:before="120" w:after="120" w:line="560" w:lineRule="exact"/>
        <w:jc w:val="center"/>
        <w:rPr>
          <w:rFonts w:hint="default" w:ascii="Times New Roman" w:hAnsi="Times New Roman" w:eastAsia="方正黑体_GBK" w:cs="Times New Roman"/>
          <w:b w:val="0"/>
          <w:bCs w:val="0"/>
          <w:color w:val="000000" w:themeColor="text1"/>
          <w:sz w:val="44"/>
          <w:szCs w:val="44"/>
          <w:highlight w:val="none"/>
          <w14:textFill>
            <w14:solidFill>
              <w14:schemeClr w14:val="tx1"/>
            </w14:solidFill>
          </w14:textFill>
        </w:rPr>
      </w:pPr>
      <w:bookmarkStart w:id="832" w:name="_Toc84945409"/>
      <w:bookmarkStart w:id="833" w:name="_Toc491899991"/>
      <w:bookmarkStart w:id="834" w:name="_Toc23782"/>
      <w:bookmarkStart w:id="835" w:name="_Toc962231613"/>
      <w:bookmarkStart w:id="836" w:name="_Toc1726135882"/>
      <w:bookmarkStart w:id="837" w:name="_Toc69575872"/>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钦州市</w:t>
      </w:r>
      <w:r>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t>“</w:t>
      </w:r>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十四五</w:t>
      </w:r>
      <w:r>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t>”</w:t>
      </w:r>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时期文化和旅游品牌培育</w:t>
      </w:r>
      <w:bookmarkEnd w:id="828"/>
      <w:bookmarkEnd w:id="829"/>
      <w:bookmarkEnd w:id="830"/>
      <w:bookmarkEnd w:id="831"/>
      <w:bookmarkEnd w:id="832"/>
      <w:bookmarkEnd w:id="833"/>
      <w:bookmarkEnd w:id="834"/>
      <w:bookmarkEnd w:id="835"/>
      <w:bookmarkEnd w:id="836"/>
      <w:bookmarkEnd w:id="837"/>
    </w:p>
    <w:tbl>
      <w:tblPr>
        <w:tblStyle w:val="24"/>
        <w:tblW w:w="13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446"/>
        <w:gridCol w:w="9042"/>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75" w:type="dxa"/>
            <w:gridSpan w:val="2"/>
            <w:vAlign w:val="center"/>
          </w:tcPr>
          <w:p>
            <w:pPr>
              <w:spacing w:line="240" w:lineRule="auto"/>
              <w:ind w:firstLine="0" w:firstLineChars="0"/>
              <w:jc w:val="cente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t>品牌名称</w:t>
            </w:r>
          </w:p>
        </w:tc>
        <w:tc>
          <w:tcPr>
            <w:tcW w:w="9042" w:type="dxa"/>
            <w:vAlign w:val="center"/>
          </w:tcPr>
          <w:p>
            <w:pPr>
              <w:spacing w:line="240" w:lineRule="auto"/>
              <w:ind w:firstLine="0" w:firstLineChars="0"/>
              <w:jc w:val="cente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 w:val="21"/>
                <w:szCs w:val="21"/>
                <w:highlight w:val="none"/>
                <w14:textFill>
                  <w14:solidFill>
                    <w14:schemeClr w14:val="tx1"/>
                  </w14:solidFill>
                </w14:textFill>
              </w:rPr>
              <w:t>具体范围</w:t>
            </w:r>
          </w:p>
        </w:tc>
        <w:tc>
          <w:tcPr>
            <w:tcW w:w="645" w:type="dxa"/>
            <w:vAlign w:val="center"/>
          </w:tcPr>
          <w:p>
            <w:pPr>
              <w:spacing w:line="240" w:lineRule="auto"/>
              <w:ind w:firstLine="0" w:firstLineChars="0"/>
              <w:jc w:val="left"/>
              <w:rPr>
                <w:rFonts w:hint="default" w:ascii="Times New Roman" w:hAnsi="Times New Roman" w:eastAsia="方正仿宋_GBK" w:cs="Times New Roman"/>
                <w:b/>
                <w:bCs/>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175" w:type="dxa"/>
            <w:gridSpan w:val="2"/>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国家级文化和旅游消费试点城市</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钦州市</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175" w:type="dxa"/>
            <w:gridSpan w:val="2"/>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国家旅游休闲城市</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钦州市</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75" w:type="dxa"/>
            <w:gridSpan w:val="2"/>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国家全域旅游示范市</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钦州市</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全域旅游示范区</w:t>
            </w: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国家级全域旅游示范区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钦南区</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广西全域旅游示范区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灵山县、浦北县</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729" w:type="dxa"/>
            <w:vMerge w:val="restart"/>
            <w:vAlign w:val="center"/>
          </w:tcPr>
          <w:p>
            <w:pPr>
              <w:spacing w:line="240" w:lineRule="auto"/>
              <w:ind w:left="0" w:leftChars="0" w:firstLine="0" w:firstLineChars="0"/>
              <w:jc w:val="both"/>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夜间文化和旅游消费集聚区</w:t>
            </w: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国家</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夜间文化和旅游消费集聚区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钦州老街</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729" w:type="dxa"/>
            <w:vMerge w:val="continue"/>
            <w:vAlign w:val="center"/>
          </w:tcPr>
          <w:p>
            <w:pPr>
              <w:spacing w:line="240" w:lineRule="auto"/>
              <w:ind w:firstLine="420" w:firstLineChars="20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广西</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夜间文化和旅游消费集聚区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鸿发夜市街、钦州美食一条街、粤港风情街、长融文旅休闲街区、浦北晨华文旅街、灵山千年街</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A级旅游景区</w:t>
            </w: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国家AAAAA级旅游景区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优先推动三娘湾景区创建国家AAAAA级景区</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国家AAAA级旅游景区</w:t>
            </w:r>
          </w:p>
        </w:tc>
        <w:tc>
          <w:tcPr>
            <w:tcW w:w="9042" w:type="dxa"/>
            <w:vAlign w:val="center"/>
          </w:tcPr>
          <w:p>
            <w:pPr>
              <w:spacing w:line="28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推动钦州老街、大朗书院文化公园、烟霞山景区、望海岭国际滑翔伞基地、浦北石祖生态园、龙武庄园、犀丽湾、孔雀湾公园、九佰垌国家农业公园、神蜉酒厂、双良芭乐园、钦州湾辣椒槌公园</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旅游度假区</w:t>
            </w: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国家级旅游度假区</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茅尾海旅游度假区、三娘湾旅游度假区</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自治区级旅游度假区</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五皇山长寿养生度假区</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旅游休闲街区</w:t>
            </w: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国家级旅游休闲街区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钦州老街</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广西旅游休闲街区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六峰山步行街、晨华文旅街</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乡村旅游重点村</w:t>
            </w: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全国乡村旅游重点村</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那新村</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广西乡村旅游重点村</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林垌村、清湖村、洞利村、殿艮村、那疋村、米蒌村、三娘湾村、大环村、那雾塘村、崩塘村、滩头村、元眼村、平坡村</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29" w:type="dxa"/>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sz w:val="21"/>
              </w:rPr>
              <mc:AlternateContent>
                <mc:Choice Requires="wps">
                  <w:drawing>
                    <wp:anchor distT="0" distB="0" distL="114300" distR="114300" simplePos="0" relativeHeight="251778048" behindDoc="0" locked="0" layoutInCell="1" allowOverlap="1">
                      <wp:simplePos x="0" y="0"/>
                      <wp:positionH relativeFrom="column">
                        <wp:posOffset>-165735</wp:posOffset>
                      </wp:positionH>
                      <wp:positionV relativeFrom="paragraph">
                        <wp:posOffset>705485</wp:posOffset>
                      </wp:positionV>
                      <wp:extent cx="673735" cy="256540"/>
                      <wp:effectExtent l="0" t="0" r="12065" b="10160"/>
                      <wp:wrapNone/>
                      <wp:docPr id="2" name="文本框 2"/>
                      <wp:cNvGraphicFramePr/>
                      <a:graphic xmlns:a="http://schemas.openxmlformats.org/drawingml/2006/main">
                        <a:graphicData uri="http://schemas.microsoft.com/office/word/2010/wordprocessingShape">
                          <wps:wsp>
                            <wps:cNvSpPr txBox="true"/>
                            <wps:spPr>
                              <a:xfrm>
                                <a:off x="876935" y="6684645"/>
                                <a:ext cx="673735" cy="256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5pt;margin-top:55.55pt;height:20.2pt;width:53.05pt;z-index:251778048;mso-width-relative:page;mso-height-relative:page;" fillcolor="#FFFFFF [3201]" filled="t" stroked="f" coordsize="21600,21600" o:gfxdata="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uSqHbdQA&#10;AAAKAQAADwAAAAAAAAABACAAAAA4AAAAZHJzL2Rvd25yZXYueG1sUEsBAhQAFAAAAAgAh07iQMS5&#10;QvNGAgAAXQQAAA4AAAAAAAAAAQAgAAAAOQEAAGRycy9lMm9Eb2MueG1sUEsFBgAAAAAGAAYAWQEA&#10;APEFA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生态旅游示范区</w:t>
            </w: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国家生态旅游示范区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八寨沟景区</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2446"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广西生态旅游示范区</w:t>
            </w:r>
          </w:p>
        </w:tc>
        <w:tc>
          <w:tcPr>
            <w:tcW w:w="9042"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桂味新光农场、百年荔枝生态园、那雾山森林公园</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729"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广西</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乡村旅游区</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（农家乐）</w:t>
            </w:r>
          </w:p>
        </w:tc>
        <w:tc>
          <w:tcPr>
            <w:tcW w:w="2446" w:type="dxa"/>
            <w:vAlign w:val="center"/>
          </w:tcPr>
          <w:p>
            <w:pPr>
              <w:spacing w:line="280" w:lineRule="exact"/>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广西</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四星级</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以上</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乡村旅游区</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（农家乐）</w:t>
            </w:r>
          </w:p>
        </w:tc>
        <w:tc>
          <w:tcPr>
            <w:tcW w:w="9042" w:type="dxa"/>
            <w:vAlign w:val="center"/>
          </w:tcPr>
          <w:p>
            <w:pPr>
              <w:spacing w:line="28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灵山大庙岭欢乐谷、贵台龙窑景区、灵山中茗茶厂、九河渡现代特色农业示范区、天鹅湖</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生态园</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、寿仙湖康养基地、三隆镇番桃园家庭农场、奇石湖生态农庄</w:t>
            </w:r>
          </w:p>
        </w:tc>
        <w:tc>
          <w:tcPr>
            <w:tcW w:w="645" w:type="dxa"/>
            <w:vAlign w:val="center"/>
          </w:tcPr>
          <w:p>
            <w:pPr>
              <w:spacing w:line="300" w:lineRule="exact"/>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175" w:type="dxa"/>
            <w:gridSpan w:val="2"/>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乡村廊道</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大风江大桥至龙门港滨海乡村旅游廊道、环五皇山热带瓜果乡村旅游廊道</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非物质文化遗产代表性项目名录</w:t>
            </w: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国家级非物质文化遗产代表性项目名录</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烟墩大鼓习俗、小江瓷器手工制作技艺、灵山竹编</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龙门藤编技艺</w:t>
            </w: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黄氏草药疗骨法</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自治区级非物质文化遗产代表性项目名录</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14:textFill>
                  <w14:solidFill>
                    <w14:schemeClr w14:val="tx1"/>
                  </w14:solidFill>
                </w14:textFill>
              </w:rPr>
              <w:t>钦</w:t>
            </w: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州猪脚粉制作技艺、钦州八扣拳、钦州大蚝烹饪技艺 、钦州瓜皮制作技艺</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文化产业示范园区</w:t>
            </w: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国家级文化产业示范园区</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坭兴陶文化创意产业园</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自治区级文化产业示范园区</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广西浦北南洋酒业有限公司</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文化产业示范基地</w:t>
            </w: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国家级文化产业示范基地</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 xml:space="preserve">浦北县石祖禅茶园 、钦州方圆陶瓷历史文化馆 </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自治区级文化产业示范基地</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钦州方圆陶瓷历史文化馆、石祖禅茶园、</w:t>
            </w:r>
            <w:r>
              <w:rPr>
                <w:rFonts w:hint="default" w:ascii="Times New Roman" w:hAnsi="Times New Roman" w:eastAsia="方正仿宋_GBK" w:cs="Times New Roman"/>
                <w:color w:val="000000" w:themeColor="text1"/>
                <w:sz w:val="21"/>
                <w:szCs w:val="21"/>
                <w:highlight w:val="none"/>
                <w14:textFill>
                  <w14:solidFill>
                    <w14:schemeClr w14:val="tx1"/>
                  </w14:solidFill>
                </w14:textFill>
              </w:rPr>
              <w:t>坭兴陶文化艺术创新创作基地、广西浦北南洋酒业有限公司、灵山县奇石湖生态农庄、广西浦北金良工艺品有限公司</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29" w:type="dxa"/>
            <w:vMerge w:val="restart"/>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t>文物保护单位</w:t>
            </w: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国家文物保护单位</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西坑古运河</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29" w:type="dxa"/>
            <w:vMerge w:val="continue"/>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eastAsia="zh-CN"/>
                <w14:textFill>
                  <w14:solidFill>
                    <w14:schemeClr w14:val="tx1"/>
                  </w14:solidFill>
                </w14:textFill>
              </w:rPr>
            </w:pPr>
          </w:p>
        </w:tc>
        <w:tc>
          <w:tcPr>
            <w:tcW w:w="2446"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lang w:val="en-US" w:eastAsia="zh-CN"/>
                <w14:textFill>
                  <w14:solidFill>
                    <w14:schemeClr w14:val="tx1"/>
                  </w14:solidFill>
                </w14:textFill>
              </w:rPr>
              <w:t>自治区文物保护单位</w:t>
            </w:r>
          </w:p>
        </w:tc>
        <w:tc>
          <w:tcPr>
            <w:tcW w:w="9042"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r>
              <w:rPr>
                <w:rFonts w:hint="default" w:ascii="Times New Roman" w:hAnsi="Times New Roman" w:eastAsia="方正仿宋_GBK" w:cs="Times New Roman"/>
                <w:color w:val="000000" w:themeColor="text1"/>
                <w:sz w:val="21"/>
                <w:szCs w:val="21"/>
                <w:highlight w:val="none"/>
                <w14:textFill>
                  <w14:solidFill>
                    <w14:schemeClr w14:val="tx1"/>
                  </w14:solidFill>
                </w14:textFill>
              </w:rPr>
              <w:t>乌雷炮台、小董镇联保小学堂</w:t>
            </w:r>
          </w:p>
        </w:tc>
        <w:tc>
          <w:tcPr>
            <w:tcW w:w="645" w:type="dxa"/>
            <w:vAlign w:val="center"/>
          </w:tcPr>
          <w:p>
            <w:pPr>
              <w:spacing w:line="240" w:lineRule="auto"/>
              <w:ind w:firstLine="0" w:firstLineChars="0"/>
              <w:jc w:val="left"/>
              <w:rPr>
                <w:rFonts w:hint="default" w:ascii="Times New Roman" w:hAnsi="Times New Roman" w:eastAsia="方正仿宋_GBK" w:cs="Times New Roman"/>
                <w:color w:val="000000" w:themeColor="text1"/>
                <w:sz w:val="21"/>
                <w:szCs w:val="21"/>
                <w:highlight w:val="none"/>
                <w14:textFill>
                  <w14:solidFill>
                    <w14:schemeClr w14:val="tx1"/>
                  </w14:solidFill>
                </w14:textFill>
              </w:rPr>
            </w:pPr>
          </w:p>
        </w:tc>
      </w:tr>
    </w:tbl>
    <w:p>
      <w:pPr>
        <w:ind w:firstLine="560"/>
        <w:rPr>
          <w:rFonts w:ascii="Times New Roman" w:hAnsi="Times New Roman" w:cs="Times New Roman"/>
          <w:color w:val="000000" w:themeColor="text1"/>
          <w:highlight w:val="none"/>
          <w14:textFill>
            <w14:solidFill>
              <w14:schemeClr w14:val="tx1"/>
            </w14:solidFill>
          </w14:textFill>
        </w:rPr>
      </w:pPr>
      <w:r>
        <w:rPr>
          <w:sz w:val="21"/>
        </w:rPr>
        <mc:AlternateContent>
          <mc:Choice Requires="wps">
            <w:drawing>
              <wp:anchor distT="0" distB="0" distL="114300" distR="114300" simplePos="0" relativeHeight="251779072" behindDoc="0" locked="0" layoutInCell="1" allowOverlap="1">
                <wp:simplePos x="0" y="0"/>
                <wp:positionH relativeFrom="column">
                  <wp:posOffset>8175625</wp:posOffset>
                </wp:positionH>
                <wp:positionV relativeFrom="paragraph">
                  <wp:posOffset>1615440</wp:posOffset>
                </wp:positionV>
                <wp:extent cx="732790" cy="321945"/>
                <wp:effectExtent l="0" t="0" r="10160" b="1905"/>
                <wp:wrapNone/>
                <wp:docPr id="8" name="文本框 8"/>
                <wp:cNvGraphicFramePr/>
                <a:graphic xmlns:a="http://schemas.openxmlformats.org/drawingml/2006/main">
                  <a:graphicData uri="http://schemas.microsoft.com/office/word/2010/wordprocessingShape">
                    <wps:wsp>
                      <wps:cNvSpPr txBox="true"/>
                      <wps:spPr>
                        <a:xfrm>
                          <a:off x="9090025" y="6656070"/>
                          <a:ext cx="732790" cy="3219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43.75pt;margin-top:127.2pt;height:25.35pt;width:57.7pt;z-index:251779072;mso-width-relative:page;mso-height-relative:page;" fillcolor="#FFFFFF [3201]" filled="t" stroked="f" coordsize="21600,21600" o:gfxdata="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CGcLFS&#10;2AAAAA0BAAAPAAAAAAAAAAEAIAAAADgAAABkcnMvZG93bnJldi54bWxQSwECFAAUAAAACACHTuJA&#10;6MrGWUQCAABeBAAADgAAAAAAAAABACAAAAA9AQAAZHJzL2Uyb0RvYy54bWxQSwUGAAAAAAYABgBZ&#10;AQAA8wU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-564515</wp:posOffset>
                </wp:positionH>
                <wp:positionV relativeFrom="paragraph">
                  <wp:posOffset>1251585</wp:posOffset>
                </wp:positionV>
                <wp:extent cx="915670" cy="446405"/>
                <wp:effectExtent l="5080" t="5080" r="5715" b="12700"/>
                <wp:wrapNone/>
                <wp:docPr id="39" name="文本框 39"/>
                <wp:cNvGraphicFramePr/>
                <a:graphic xmlns:a="http://schemas.openxmlformats.org/drawingml/2006/main">
                  <a:graphicData uri="http://schemas.microsoft.com/office/word/2010/wordprocessingShape">
                    <wps:wsp>
                      <wps:cNvSpPr txBox="true"/>
                      <wps:spPr>
                        <a:xfrm rot="5400000">
                          <a:off x="187960" y="2071370"/>
                          <a:ext cx="915670" cy="4464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eastAsia" w:ascii="Times New Roman" w:hAnsi="Times New Roman" w:eastAsia="方正仿宋_GBK" w:cs="Times New Roman"/>
                                <w:sz w:val="28"/>
                                <w:szCs w:val="28"/>
                                <w:lang w:val="en-US" w:eastAsia="zh-CN"/>
                              </w:rPr>
                              <w:t>99</w:t>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4.45pt;margin-top:98.55pt;height:35.15pt;width:72.1pt;rotation:5898240f;z-index:251776000;mso-width-relative:page;mso-height-relative:page;" fillcolor="#FFFFFF [3201]" filled="t" stroked="t" coordsize="21600,21600" o:gfxdata="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P27/QTaAAAACgEAAA8AAAAAAAAAAQAgAAAAOAAAAGRycy9kb3ducmV2LnhtbFBL&#10;AQIUABQAAAAIAIdO4kAlwCS1UAIAAJYEAAAOAAAAAAAAAAEAIAAAAD8BAABkcnMvZTJvRG9jLnht&#10;bFBLBQYAAAAABgAGAFkBAAABBgAAAAA=&#10;">
                <v:fill on="t" focussize="0,0"/>
                <v:stroke weight="0.5pt" color="#FFFFFF [3212]" joinstyle="round"/>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eastAsia" w:ascii="Times New Roman" w:hAnsi="Times New Roman" w:eastAsia="方正仿宋_GBK" w:cs="Times New Roman"/>
                          <w:sz w:val="28"/>
                          <w:szCs w:val="28"/>
                          <w:lang w:val="en-US" w:eastAsia="zh-CN"/>
                        </w:rPr>
                        <w:t>99</w:t>
                      </w:r>
                      <w:r>
                        <w:rPr>
                          <w:rFonts w:hint="eastAsia" w:asciiTheme="minorEastAsia" w:hAnsiTheme="minorEastAsia" w:eastAsiaTheme="minorEastAsia" w:cstheme="minorEastAsia"/>
                          <w:sz w:val="28"/>
                          <w:szCs w:val="28"/>
                          <w:lang w:eastAsia="zh-CN"/>
                        </w:rPr>
                        <w:t>－</w:t>
                      </w:r>
                    </w:p>
                    <w:p/>
                  </w:txbxContent>
                </v:textbox>
              </v:shape>
            </w:pict>
          </mc:Fallback>
        </mc:AlternateContent>
      </w:r>
      <w:r>
        <w:rPr>
          <w:rFonts w:ascii="Times New Roman" w:hAnsi="Times New Roman" w:cs="Times New Roman"/>
          <w:color w:val="000000" w:themeColor="text1"/>
          <w:highlight w:val="none"/>
          <w14:textFill>
            <w14:solidFill>
              <w14:schemeClr w14:val="tx1"/>
            </w14:solidFill>
          </w14:textFill>
        </w:rPr>
        <w:br w:type="page"/>
      </w:r>
      <w:bookmarkStart w:id="838" w:name="_Toc71801130"/>
      <w:bookmarkStart w:id="839" w:name="_Toc62549665"/>
      <w:bookmarkStart w:id="840" w:name="_Toc77716509"/>
      <w:bookmarkStart w:id="841" w:name="_Toc62549545"/>
    </w:p>
    <w:p>
      <w:pPr>
        <w:pStyle w:val="29"/>
        <w:spacing w:before="120" w:after="120" w:line="560" w:lineRule="exact"/>
        <w:jc w:val="left"/>
        <w:rPr>
          <w:rFonts w:hint="default" w:ascii="Times New Roman" w:hAnsi="Times New Roman" w:eastAsia="方正仿宋_GBK" w:cs="Times New Roman"/>
          <w:b w:val="0"/>
          <w:bCs w:val="0"/>
          <w:color w:val="000000" w:themeColor="text1"/>
          <w:sz w:val="32"/>
          <w:szCs w:val="24"/>
          <w:highlight w:val="none"/>
          <w14:textFill>
            <w14:solidFill>
              <w14:schemeClr w14:val="tx1"/>
            </w14:solidFill>
          </w14:textFill>
        </w:rPr>
      </w:pPr>
      <w:bookmarkStart w:id="842" w:name="_Toc810505713"/>
      <w:bookmarkStart w:id="843" w:name="_Toc1217749139"/>
      <w:bookmarkStart w:id="844" w:name="_Toc898372539"/>
      <w:bookmarkStart w:id="845" w:name="_Toc1376473180"/>
      <w:bookmarkStart w:id="846" w:name="_Toc26382"/>
      <w:bookmarkStart w:id="847" w:name="_Toc84945410"/>
      <w:bookmarkStart w:id="848" w:name="_Toc80024410"/>
      <w:r>
        <w:rPr>
          <w:sz w:val="32"/>
        </w:rPr>
        <mc:AlternateContent>
          <mc:Choice Requires="wps">
            <w:drawing>
              <wp:anchor distT="0" distB="0" distL="114300" distR="114300" simplePos="0" relativeHeight="251777024" behindDoc="1" locked="0" layoutInCell="1" allowOverlap="1">
                <wp:simplePos x="0" y="0"/>
                <wp:positionH relativeFrom="column">
                  <wp:posOffset>-615950</wp:posOffset>
                </wp:positionH>
                <wp:positionV relativeFrom="paragraph">
                  <wp:posOffset>184150</wp:posOffset>
                </wp:positionV>
                <wp:extent cx="893445" cy="431165"/>
                <wp:effectExtent l="4445" t="4445" r="21590" b="16510"/>
                <wp:wrapNone/>
                <wp:docPr id="40" name="文本框 40"/>
                <wp:cNvGraphicFramePr/>
                <a:graphic xmlns:a="http://schemas.openxmlformats.org/drawingml/2006/main">
                  <a:graphicData uri="http://schemas.microsoft.com/office/word/2010/wordprocessingShape">
                    <wps:wsp>
                      <wps:cNvSpPr txBox="true"/>
                      <wps:spPr>
                        <a:xfrm rot="5400000">
                          <a:off x="195580" y="177800"/>
                          <a:ext cx="893445" cy="4311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100</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8.5pt;margin-top:14.5pt;height:33.95pt;width:70.35pt;rotation:5898240f;z-index:-251539456;mso-width-relative:page;mso-height-relative:page;" fillcolor="#FFFFFF [3201]" filled="t" stroked="t" coordsize="21600,21600" o:gfxdata="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BTUut2QAAAAgBAAAPAAAAAAAAAAEAIAAAADgAAABkcnMvZG93bnJldi54bWxQSwEC&#10;FAAUAAAACACHTuJAtJ0vLU8CAACVBAAADgAAAAAAAAABACAAAAA+AQAAZHJzL2Uyb0RvYy54bWxQ&#10;SwUGAAAAAAYABgBZAQAA/wUAAAAA&#10;">
                <v:fill on="t" focussize="0,0"/>
                <v:stroke weight="0.5pt" color="#FFFFFF [3212]" joinstyle="round"/>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100</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r>
        <w:rPr>
          <w:rFonts w:hint="eastAsia" w:ascii="方正黑体_GBK" w:hAnsi="方正黑体_GBK" w:eastAsia="方正黑体_GBK" w:cs="方正黑体_GBK"/>
          <w:b w:val="0"/>
          <w:bCs w:val="0"/>
          <w:color w:val="000000" w:themeColor="text1"/>
          <w:sz w:val="32"/>
          <w:szCs w:val="24"/>
          <w:highlight w:val="none"/>
          <w14:textFill>
            <w14:solidFill>
              <w14:schemeClr w14:val="tx1"/>
            </w14:solidFill>
          </w14:textFill>
        </w:rPr>
        <w:t>附件</w:t>
      </w:r>
      <w:r>
        <w:rPr>
          <w:rFonts w:hint="default" w:ascii="Times New Roman" w:hAnsi="Times New Roman" w:eastAsia="方正仿宋_GBK" w:cs="Times New Roman"/>
          <w:b w:val="0"/>
          <w:bCs w:val="0"/>
          <w:color w:val="000000" w:themeColor="text1"/>
          <w:sz w:val="32"/>
          <w:szCs w:val="24"/>
          <w:highlight w:val="none"/>
          <w14:textFill>
            <w14:solidFill>
              <w14:schemeClr w14:val="tx1"/>
            </w14:solidFill>
          </w14:textFill>
        </w:rPr>
        <w:t>2</w:t>
      </w:r>
      <w:bookmarkEnd w:id="842"/>
      <w:bookmarkEnd w:id="843"/>
      <w:bookmarkEnd w:id="844"/>
      <w:bookmarkEnd w:id="845"/>
      <w:bookmarkEnd w:id="846"/>
      <w:bookmarkEnd w:id="847"/>
    </w:p>
    <w:p>
      <w:pPr>
        <w:pStyle w:val="29"/>
        <w:spacing w:before="120" w:after="120" w:line="560" w:lineRule="exact"/>
        <w:rPr>
          <w:rFonts w:hint="eastAsia" w:ascii="方正小标宋_GBK" w:hAnsi="方正小标宋_GBK" w:eastAsia="方正小标宋_GBK" w:cs="方正小标宋_GBK"/>
          <w:b w:val="0"/>
          <w:bCs w:val="0"/>
          <w:color w:val="000000" w:themeColor="text1"/>
          <w:sz w:val="44"/>
          <w:szCs w:val="36"/>
          <w:highlight w:val="none"/>
          <w14:textFill>
            <w14:solidFill>
              <w14:schemeClr w14:val="tx1"/>
            </w14:solidFill>
          </w14:textFill>
        </w:rPr>
      </w:pPr>
      <w:bookmarkStart w:id="849" w:name="_Toc974063613"/>
      <w:bookmarkStart w:id="850" w:name="_Toc84945411"/>
      <w:bookmarkStart w:id="851" w:name="_Toc1227766397"/>
      <w:bookmarkStart w:id="852" w:name="_Toc1650346352"/>
      <w:bookmarkStart w:id="853" w:name="_Toc17371"/>
      <w:bookmarkStart w:id="854" w:name="_Toc1357834165"/>
      <w:r>
        <w:rPr>
          <w:rFonts w:hint="eastAsia" w:ascii="方正小标宋_GBK" w:hAnsi="方正小标宋_GBK" w:eastAsia="方正小标宋_GBK" w:cs="方正小标宋_GBK"/>
          <w:b w:val="0"/>
          <w:bCs w:val="0"/>
          <w:color w:val="000000" w:themeColor="text1"/>
          <w:sz w:val="44"/>
          <w:szCs w:val="36"/>
          <w:highlight w:val="none"/>
          <w14:textFill>
            <w14:solidFill>
              <w14:schemeClr w14:val="tx1"/>
            </w14:solidFill>
          </w14:textFill>
        </w:rPr>
        <w:t>钦州市各县区</w:t>
      </w:r>
      <w:r>
        <w:rPr>
          <w:rFonts w:hint="eastAsia" w:ascii="方正小标宋_GBK" w:hAnsi="方正小标宋_GBK" w:eastAsia="方正小标宋_GBK" w:cs="方正小标宋_GBK"/>
          <w:b w:val="0"/>
          <w:bCs w:val="0"/>
          <w:color w:val="000000" w:themeColor="text1"/>
          <w:sz w:val="44"/>
          <w:szCs w:val="36"/>
          <w:highlight w:val="none"/>
          <w:lang w:eastAsia="zh-CN"/>
          <w14:textFill>
            <w14:solidFill>
              <w14:schemeClr w14:val="tx1"/>
            </w14:solidFill>
          </w14:textFill>
        </w:rPr>
        <w:t>“</w:t>
      </w:r>
      <w:r>
        <w:rPr>
          <w:rFonts w:hint="eastAsia" w:ascii="方正小标宋_GBK" w:hAnsi="方正小标宋_GBK" w:eastAsia="方正小标宋_GBK" w:cs="方正小标宋_GBK"/>
          <w:b w:val="0"/>
          <w:bCs w:val="0"/>
          <w:color w:val="000000" w:themeColor="text1"/>
          <w:sz w:val="44"/>
          <w:szCs w:val="36"/>
          <w:highlight w:val="none"/>
          <w14:textFill>
            <w14:solidFill>
              <w14:schemeClr w14:val="tx1"/>
            </w14:solidFill>
          </w14:textFill>
        </w:rPr>
        <w:t>十四五</w:t>
      </w:r>
      <w:r>
        <w:rPr>
          <w:rFonts w:hint="eastAsia" w:ascii="方正小标宋_GBK" w:hAnsi="方正小标宋_GBK" w:eastAsia="方正小标宋_GBK" w:cs="方正小标宋_GBK"/>
          <w:b w:val="0"/>
          <w:bCs w:val="0"/>
          <w:color w:val="000000" w:themeColor="text1"/>
          <w:sz w:val="44"/>
          <w:szCs w:val="36"/>
          <w:highlight w:val="none"/>
          <w:lang w:eastAsia="zh-CN"/>
          <w14:textFill>
            <w14:solidFill>
              <w14:schemeClr w14:val="tx1"/>
            </w14:solidFill>
          </w14:textFill>
        </w:rPr>
        <w:t>”</w:t>
      </w:r>
      <w:r>
        <w:rPr>
          <w:rFonts w:hint="eastAsia" w:ascii="方正小标宋_GBK" w:hAnsi="方正小标宋_GBK" w:eastAsia="方正小标宋_GBK" w:cs="方正小标宋_GBK"/>
          <w:b w:val="0"/>
          <w:bCs w:val="0"/>
          <w:color w:val="000000" w:themeColor="text1"/>
          <w:sz w:val="44"/>
          <w:szCs w:val="36"/>
          <w:highlight w:val="none"/>
          <w14:textFill>
            <w14:solidFill>
              <w14:schemeClr w14:val="tx1"/>
            </w14:solidFill>
          </w14:textFill>
        </w:rPr>
        <w:t>时期体育发展指引</w:t>
      </w:r>
      <w:bookmarkEnd w:id="838"/>
      <w:bookmarkEnd w:id="839"/>
      <w:bookmarkEnd w:id="840"/>
      <w:bookmarkEnd w:id="848"/>
      <w:bookmarkEnd w:id="849"/>
      <w:bookmarkEnd w:id="850"/>
      <w:bookmarkEnd w:id="851"/>
      <w:bookmarkEnd w:id="852"/>
      <w:bookmarkEnd w:id="853"/>
      <w:bookmarkEnd w:id="854"/>
    </w:p>
    <w:tbl>
      <w:tblPr>
        <w:tblStyle w:val="25"/>
        <w:tblW w:w="14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980" w:type="dxa"/>
            <w:vAlign w:val="top"/>
          </w:tcPr>
          <w:p>
            <w:pPr>
              <w:ind w:firstLine="0" w:firstLineChars="0"/>
              <w:jc w:val="center"/>
              <w:rPr>
                <w:rFonts w:hint="eastAsia" w:ascii="方正黑体_GBK" w:hAnsi="方正黑体_GBK" w:eastAsia="方正黑体_GBK" w:cs="方正黑体_GBK"/>
                <w:b w:val="0"/>
                <w:bCs/>
                <w:color w:val="000000" w:themeColor="text1"/>
                <w:sz w:val="21"/>
                <w:szCs w:val="21"/>
                <w:highlight w:val="none"/>
                <w14:textFill>
                  <w14:solidFill>
                    <w14:schemeClr w14:val="tx1"/>
                  </w14:solidFill>
                </w14:textFill>
              </w:rPr>
            </w:pPr>
            <w:bookmarkStart w:id="855" w:name="_Hlk62155195"/>
            <w:r>
              <w:rPr>
                <w:rFonts w:hint="eastAsia" w:ascii="方正黑体_GBK" w:hAnsi="方正黑体_GBK" w:eastAsia="方正黑体_GBK" w:cs="方正黑体_GBK"/>
                <w:b w:val="0"/>
                <w:bCs/>
                <w:color w:val="000000" w:themeColor="text1"/>
                <w:sz w:val="21"/>
                <w:szCs w:val="21"/>
                <w:highlight w:val="none"/>
                <w14:textFill>
                  <w14:solidFill>
                    <w14:schemeClr w14:val="tx1"/>
                  </w14:solidFill>
                </w14:textFill>
              </w:rPr>
              <w:t>县、区</w:t>
            </w:r>
          </w:p>
        </w:tc>
        <w:tc>
          <w:tcPr>
            <w:tcW w:w="12049" w:type="dxa"/>
            <w:vAlign w:val="top"/>
          </w:tcPr>
          <w:p>
            <w:pPr>
              <w:ind w:firstLine="0" w:firstLineChars="0"/>
              <w:jc w:val="center"/>
              <w:rPr>
                <w:rFonts w:hint="eastAsia" w:ascii="方正黑体_GBK" w:hAnsi="方正黑体_GBK" w:eastAsia="方正黑体_GBK" w:cs="方正黑体_GBK"/>
                <w:b w:val="0"/>
                <w:bCs/>
                <w:color w:val="000000" w:themeColor="text1"/>
                <w:sz w:val="21"/>
                <w:szCs w:val="21"/>
                <w:highlight w:val="none"/>
                <w14:textFill>
                  <w14:solidFill>
                    <w14:schemeClr w14:val="tx1"/>
                  </w14:solidFill>
                </w14:textFill>
              </w:rPr>
            </w:pPr>
            <w:r>
              <w:rPr>
                <w:rFonts w:hint="eastAsia" w:ascii="方正黑体_GBK" w:hAnsi="方正黑体_GBK" w:eastAsia="方正黑体_GBK" w:cs="方正黑体_GBK"/>
                <w:b w:val="0"/>
                <w:bCs/>
                <w:color w:val="000000" w:themeColor="text1"/>
                <w:sz w:val="21"/>
                <w:szCs w:val="21"/>
                <w:highlight w:val="none"/>
                <w14:textFill>
                  <w14:solidFill>
                    <w14:schemeClr w14:val="tx1"/>
                  </w14:solidFill>
                </w14:textFill>
              </w:rPr>
              <w:t>体育发展指引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pPr>
              <w:ind w:firstLine="0" w:firstLineChars="0"/>
              <w:jc w:val="center"/>
              <w:rPr>
                <w:rFonts w:hint="eastAsia" w:ascii="方正仿宋_GBK" w:hAnsi="方正仿宋_GBK" w:eastAsia="方正仿宋_GBK" w:cs="方正仿宋_GBK"/>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Cs/>
                <w:color w:val="000000" w:themeColor="text1"/>
                <w:sz w:val="21"/>
                <w:szCs w:val="21"/>
                <w:highlight w:val="none"/>
                <w14:textFill>
                  <w14:solidFill>
                    <w14:schemeClr w14:val="tx1"/>
                  </w14:solidFill>
                </w14:textFill>
              </w:rPr>
              <w:t>灵山县</w:t>
            </w:r>
          </w:p>
        </w:tc>
        <w:tc>
          <w:tcPr>
            <w:tcW w:w="12049" w:type="dxa"/>
            <w:vAlign w:val="center"/>
          </w:tcPr>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群体：建设灵山县体育中心、灵山县体育公园，发展环六峰山跑步赛，打造灵山荔枝文化旅游节欢乐跑比赛。</w:t>
            </w:r>
          </w:p>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竞体：提升灵山体校竞技体育基础设施及训练水平，举办灵山县中小学生田径运动会、校园足球比赛、中小学生篮球赛，促进</w:t>
            </w:r>
            <w:r>
              <w:rPr>
                <w:rFonts w:hint="eastAsia" w:ascii="方正仿宋_GBK" w:hAnsi="方正仿宋_GBK" w:eastAsia="方正仿宋_GBK" w:cs="方正仿宋_GBK"/>
                <w:b w:val="0"/>
                <w:bCs/>
                <w:color w:val="000000" w:themeColor="text1"/>
                <w:sz w:val="21"/>
                <w:szCs w:val="21"/>
                <w:highlight w:val="none"/>
                <w:lang w:eastAsia="zh-CN"/>
                <w14:textFill>
                  <w14:solidFill>
                    <w14:schemeClr w14:val="tx1"/>
                  </w14:solidFill>
                </w14:textFill>
              </w:rPr>
              <w:t>“</w:t>
            </w: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体教融合</w:t>
            </w:r>
            <w:r>
              <w:rPr>
                <w:rFonts w:hint="eastAsia" w:ascii="方正仿宋_GBK" w:hAnsi="方正仿宋_GBK" w:eastAsia="方正仿宋_GBK" w:cs="方正仿宋_GBK"/>
                <w:b w:val="0"/>
                <w:bCs/>
                <w:color w:val="000000" w:themeColor="text1"/>
                <w:sz w:val="21"/>
                <w:szCs w:val="21"/>
                <w:highlight w:val="none"/>
                <w:lang w:eastAsia="zh-CN"/>
                <w14:textFill>
                  <w14:solidFill>
                    <w14:schemeClr w14:val="tx1"/>
                  </w14:solidFill>
                </w14:textFill>
              </w:rPr>
              <w:t>”</w:t>
            </w: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，进一步提升跳水、游泳等优势项目。</w:t>
            </w:r>
          </w:p>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产业：推动</w:t>
            </w:r>
            <w:r>
              <w:rPr>
                <w:rFonts w:hint="eastAsia" w:ascii="方正仿宋_GBK" w:hAnsi="方正仿宋_GBK" w:eastAsia="方正仿宋_GBK" w:cs="方正仿宋_GBK"/>
                <w:b w:val="0"/>
                <w:bCs/>
                <w:color w:val="000000" w:themeColor="text1"/>
                <w:sz w:val="21"/>
                <w:szCs w:val="21"/>
                <w:highlight w:val="none"/>
                <w:lang w:eastAsia="zh-CN"/>
                <w14:textFill>
                  <w14:solidFill>
                    <w14:schemeClr w14:val="tx1"/>
                  </w14:solidFill>
                </w14:textFill>
              </w:rPr>
              <w:t>“</w:t>
            </w: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体育+</w:t>
            </w:r>
            <w:r>
              <w:rPr>
                <w:rFonts w:hint="eastAsia" w:ascii="方正仿宋_GBK" w:hAnsi="方正仿宋_GBK" w:eastAsia="方正仿宋_GBK" w:cs="方正仿宋_GBK"/>
                <w:b w:val="0"/>
                <w:bCs/>
                <w:color w:val="000000" w:themeColor="text1"/>
                <w:sz w:val="21"/>
                <w:szCs w:val="21"/>
                <w:highlight w:val="none"/>
                <w:lang w:eastAsia="zh-CN"/>
                <w14:textFill>
                  <w14:solidFill>
                    <w14:schemeClr w14:val="tx1"/>
                  </w14:solidFill>
                </w14:textFill>
              </w:rPr>
              <w:t>”</w:t>
            </w: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pPr>
              <w:ind w:firstLine="0" w:firstLineChars="0"/>
              <w:jc w:val="center"/>
              <w:rPr>
                <w:rFonts w:hint="eastAsia" w:ascii="方正仿宋_GBK" w:hAnsi="方正仿宋_GBK" w:eastAsia="方正仿宋_GBK" w:cs="方正仿宋_GBK"/>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Cs/>
                <w:color w:val="000000" w:themeColor="text1"/>
                <w:sz w:val="21"/>
                <w:szCs w:val="21"/>
                <w:highlight w:val="none"/>
                <w14:textFill>
                  <w14:solidFill>
                    <w14:schemeClr w14:val="tx1"/>
                  </w14:solidFill>
                </w14:textFill>
              </w:rPr>
              <w:t>浦北县</w:t>
            </w:r>
          </w:p>
        </w:tc>
        <w:tc>
          <w:tcPr>
            <w:tcW w:w="12049" w:type="dxa"/>
            <w:vAlign w:val="center"/>
          </w:tcPr>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群体：建设六万山、五皇山健身步道，打造越州寿仙湖绿道自行车暨慢跑趣味赛。</w:t>
            </w:r>
          </w:p>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竞体：提升浦北体校竞技体育基础设施及训练水平，提升举重、田径、篮球、跆拳道等优势项目。</w:t>
            </w:r>
          </w:p>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产业：推动</w:t>
            </w:r>
            <w:r>
              <w:rPr>
                <w:rFonts w:hint="eastAsia" w:ascii="方正仿宋_GBK" w:hAnsi="方正仿宋_GBK" w:eastAsia="方正仿宋_GBK" w:cs="方正仿宋_GBK"/>
                <w:b w:val="0"/>
                <w:bCs/>
                <w:color w:val="000000" w:themeColor="text1"/>
                <w:sz w:val="21"/>
                <w:szCs w:val="21"/>
                <w:highlight w:val="none"/>
                <w:lang w:eastAsia="zh-CN"/>
                <w14:textFill>
                  <w14:solidFill>
                    <w14:schemeClr w14:val="tx1"/>
                  </w14:solidFill>
                </w14:textFill>
              </w:rPr>
              <w:t>“</w:t>
            </w: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体育+旅游+健康</w:t>
            </w:r>
            <w:r>
              <w:rPr>
                <w:rFonts w:hint="eastAsia" w:ascii="方正仿宋_GBK" w:hAnsi="方正仿宋_GBK" w:eastAsia="方正仿宋_GBK" w:cs="方正仿宋_GBK"/>
                <w:b w:val="0"/>
                <w:bCs/>
                <w:color w:val="000000" w:themeColor="text1"/>
                <w:sz w:val="21"/>
                <w:szCs w:val="21"/>
                <w:highlight w:val="none"/>
                <w:lang w:eastAsia="zh-CN"/>
                <w14:textFill>
                  <w14:solidFill>
                    <w14:schemeClr w14:val="tx1"/>
                  </w14:solidFill>
                </w14:textFill>
              </w:rPr>
              <w:t>”</w:t>
            </w: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融合；石祖岭户外拓展基地运动场等。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pPr>
              <w:ind w:firstLine="0" w:firstLineChars="0"/>
              <w:jc w:val="center"/>
              <w:rPr>
                <w:rFonts w:hint="eastAsia" w:ascii="方正仿宋_GBK" w:hAnsi="方正仿宋_GBK" w:eastAsia="方正仿宋_GBK" w:cs="方正仿宋_GBK"/>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Cs/>
                <w:color w:val="000000" w:themeColor="text1"/>
                <w:sz w:val="21"/>
                <w:szCs w:val="21"/>
                <w:highlight w:val="none"/>
                <w14:textFill>
                  <w14:solidFill>
                    <w14:schemeClr w14:val="tx1"/>
                  </w14:solidFill>
                </w14:textFill>
              </w:rPr>
              <w:t>钦南区</w:t>
            </w:r>
          </w:p>
        </w:tc>
        <w:tc>
          <w:tcPr>
            <w:tcW w:w="12049" w:type="dxa"/>
            <w:vAlign w:val="center"/>
          </w:tcPr>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群体：建设一江两岸体育运动公园，钦州市体育公园、发展篮球、羽毛球、乒乓球、围棋、象棋赛等系列群众性体育活动；气排球比赛；</w:t>
            </w:r>
            <w:r>
              <w:rPr>
                <w:rFonts w:hint="eastAsia" w:ascii="方正仿宋_GBK" w:hAnsi="方正仿宋_GBK" w:eastAsia="方正仿宋_GBK" w:cs="方正仿宋_GBK"/>
                <w:b w:val="0"/>
                <w:bCs/>
                <w:color w:val="000000" w:themeColor="text1"/>
                <w:sz w:val="21"/>
                <w:szCs w:val="21"/>
                <w:highlight w:val="none"/>
                <w:lang w:eastAsia="zh-CN"/>
                <w14:textFill>
                  <w14:solidFill>
                    <w14:schemeClr w14:val="tx1"/>
                  </w14:solidFill>
                </w14:textFill>
              </w:rPr>
              <w:t>建设</w:t>
            </w: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一江两岸体育运动公园。</w:t>
            </w:r>
          </w:p>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竞体：提升钦南区体校竞技体育基础设施及训练水平，提升田径、游泳、篮球、武术、跆拳道等优势项目。</w:t>
            </w:r>
          </w:p>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产业：建设茅尾海生态运动公园、犀丽湾低空旅游休闲运动基地、那雾山山地运动公园。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Align w:val="center"/>
          </w:tcPr>
          <w:p>
            <w:pPr>
              <w:ind w:firstLine="0" w:firstLineChars="0"/>
              <w:jc w:val="center"/>
              <w:rPr>
                <w:rFonts w:hint="eastAsia" w:ascii="方正仿宋_GBK" w:hAnsi="方正仿宋_GBK" w:eastAsia="方正仿宋_GBK" w:cs="方正仿宋_GBK"/>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Cs/>
                <w:color w:val="000000" w:themeColor="text1"/>
                <w:sz w:val="21"/>
                <w:szCs w:val="21"/>
                <w:highlight w:val="none"/>
                <w14:textFill>
                  <w14:solidFill>
                    <w14:schemeClr w14:val="tx1"/>
                  </w14:solidFill>
                </w14:textFill>
              </w:rPr>
              <w:t>钦北区</w:t>
            </w:r>
          </w:p>
        </w:tc>
        <w:tc>
          <w:tcPr>
            <w:tcW w:w="12049" w:type="dxa"/>
            <w:vAlign w:val="center"/>
          </w:tcPr>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群体：建设钦北区综合性文化体育公园，林湖森林公园休闲步道，发展八寨沟登山跑、足球赛、广场舞大赛、中小学生篮球赛等。</w:t>
            </w:r>
          </w:p>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竞体：提升钦北区体校竞技体育基础设施及训练水平，提升田径、篮球、足球、乒乓球等优势项目。</w:t>
            </w:r>
          </w:p>
          <w:p>
            <w:pPr>
              <w:spacing w:line="240" w:lineRule="auto"/>
              <w:ind w:firstLine="0" w:firstLineChars="0"/>
              <w:jc w:val="left"/>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pPr>
            <w:r>
              <w:rPr>
                <w:rFonts w:hint="eastAsia" w:ascii="方正仿宋_GBK" w:hAnsi="方正仿宋_GBK" w:eastAsia="方正仿宋_GBK" w:cs="方正仿宋_GBK"/>
                <w:b w:val="0"/>
                <w:bCs/>
                <w:color w:val="000000" w:themeColor="text1"/>
                <w:sz w:val="21"/>
                <w:szCs w:val="21"/>
                <w:highlight w:val="none"/>
                <w14:textFill>
                  <w14:solidFill>
                    <w14:schemeClr w14:val="tx1"/>
                  </w14:solidFill>
                </w14:textFill>
              </w:rPr>
              <w:t>产业：重点建设望海岭滑翔伞运动基地、八寨沟漂流运动基地。</w:t>
            </w:r>
          </w:p>
        </w:tc>
      </w:tr>
      <w:bookmarkEnd w:id="855"/>
    </w:tbl>
    <w:p>
      <w:pPr>
        <w:ind w:firstLine="629" w:firstLineChars="196"/>
        <w:rPr>
          <w:rFonts w:ascii="Times New Roman" w:hAnsi="Times New Roman" w:eastAsia="仿宋_GB2312" w:cs="Times New Roman"/>
          <w:b/>
          <w:bCs/>
          <w:color w:val="000000" w:themeColor="text1"/>
          <w:sz w:val="32"/>
          <w:szCs w:val="32"/>
          <w:highlight w:val="none"/>
          <w14:textFill>
            <w14:solidFill>
              <w14:schemeClr w14:val="tx1"/>
            </w14:solidFill>
          </w14:textFill>
        </w:rPr>
      </w:pPr>
    </w:p>
    <w:p>
      <w:pPr>
        <w:widowControl/>
        <w:ind w:firstLine="0" w:firstLineChars="0"/>
        <w:rPr>
          <w:rFonts w:ascii="Times New Roman" w:hAnsi="Times New Roman" w:eastAsia="黑体" w:cs="Times New Roman"/>
          <w:bCs/>
          <w:color w:val="000000" w:themeColor="text1"/>
          <w:kern w:val="44"/>
          <w:sz w:val="30"/>
          <w:szCs w:val="32"/>
          <w:highlight w:val="none"/>
          <w14:textFill>
            <w14:solidFill>
              <w14:schemeClr w14:val="tx1"/>
            </w14:solidFill>
          </w14:textFill>
        </w:rPr>
      </w:pPr>
      <w:r>
        <w:rPr>
          <w:sz w:val="30"/>
        </w:rPr>
        <mc:AlternateContent>
          <mc:Choice Requires="wps">
            <w:drawing>
              <wp:anchor distT="0" distB="0" distL="114300" distR="114300" simplePos="0" relativeHeight="251780096" behindDoc="0" locked="0" layoutInCell="1" allowOverlap="1">
                <wp:simplePos x="0" y="0"/>
                <wp:positionH relativeFrom="column">
                  <wp:posOffset>-88900</wp:posOffset>
                </wp:positionH>
                <wp:positionV relativeFrom="paragraph">
                  <wp:posOffset>852805</wp:posOffset>
                </wp:positionV>
                <wp:extent cx="879475" cy="439420"/>
                <wp:effectExtent l="0" t="0" r="15875" b="17780"/>
                <wp:wrapNone/>
                <wp:docPr id="11" name="文本框 11"/>
                <wp:cNvGraphicFramePr/>
                <a:graphic xmlns:a="http://schemas.openxmlformats.org/drawingml/2006/main">
                  <a:graphicData uri="http://schemas.microsoft.com/office/word/2010/wordprocessingShape">
                    <wps:wsp>
                      <wps:cNvSpPr txBox="true"/>
                      <wps:spPr>
                        <a:xfrm>
                          <a:off x="825500" y="6579870"/>
                          <a:ext cx="879475"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pt;margin-top:67.15pt;height:34.6pt;width:69.25pt;z-index:251780096;mso-width-relative:page;mso-height-relative:page;" fillcolor="#FFFFFF [3201]" filled="t" stroked="f" coordsize="21600,21600" o:gfxdata="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UH5W&#10;P9YAAAALAQAADwAAAAAAAAABACAAAAA4AAAAZHJzL2Rvd25yZXYueG1sUEsBAhQAFAAAAAgAh07i&#10;QGlQP/FHAgAAXwQAAA4AAAAAAAAAAQAgAAAAOwEAAGRycy9lMm9Eb2MueG1sUEsFBgAAAAAGAAYA&#10;WQEAAPQFAAAAAA==&#10;">
                <v:fill on="t" focussize="0,0"/>
                <v:stroke on="f" weight="0.5pt"/>
                <v:imagedata o:title=""/>
                <o:lock v:ext="edit" aspectratio="f"/>
                <v:textbox>
                  <w:txbxContent>
                    <w:p/>
                  </w:txbxContent>
                </v:textbox>
              </v:shape>
            </w:pict>
          </mc:Fallback>
        </mc:AlternateContent>
      </w:r>
      <w:r>
        <w:rPr>
          <w:rFonts w:ascii="Times New Roman" w:hAnsi="Times New Roman" w:cs="Times New Roman"/>
          <w:b/>
          <w:color w:val="000000" w:themeColor="text1"/>
          <w:sz w:val="30"/>
          <w:szCs w:val="32"/>
          <w:highlight w:val="none"/>
          <w14:textFill>
            <w14:solidFill>
              <w14:schemeClr w14:val="tx1"/>
            </w14:solidFill>
          </w14:textFill>
        </w:rPr>
        <w:br w:type="page"/>
      </w:r>
    </w:p>
    <w:bookmarkEnd w:id="841"/>
    <w:p>
      <w:pPr>
        <w:pStyle w:val="29"/>
        <w:spacing w:before="120" w:after="120" w:line="560" w:lineRule="exact"/>
        <w:jc w:val="left"/>
        <w:rPr>
          <w:rFonts w:hint="default" w:ascii="Times New Roman" w:hAnsi="Times New Roman" w:eastAsia="方正仿宋_GBK" w:cs="Times New Roman"/>
          <w:b w:val="0"/>
          <w:bCs w:val="0"/>
          <w:color w:val="000000" w:themeColor="text1"/>
          <w:sz w:val="32"/>
          <w:szCs w:val="24"/>
          <w:highlight w:val="none"/>
          <w14:textFill>
            <w14:solidFill>
              <w14:schemeClr w14:val="tx1"/>
            </w14:solidFill>
          </w14:textFill>
        </w:rPr>
      </w:pPr>
      <w:bookmarkStart w:id="856" w:name="_Toc1321051433"/>
      <w:bookmarkStart w:id="857" w:name="_Toc2040377986"/>
      <w:bookmarkStart w:id="858" w:name="_Toc22739"/>
      <w:bookmarkStart w:id="859" w:name="_Toc1613781041"/>
      <w:bookmarkStart w:id="860" w:name="_Toc605423577"/>
      <w:bookmarkStart w:id="861" w:name="_Toc84945412"/>
      <w:bookmarkStart w:id="862" w:name="_Toc80024411"/>
      <w:bookmarkStart w:id="863" w:name="_Toc84945416"/>
      <w:bookmarkStart w:id="864" w:name="_Toc80024413"/>
      <w:r>
        <w:rPr>
          <w:rFonts w:hint="eastAsia" w:ascii="方正黑体_GBK" w:hAnsi="方正黑体_GBK" w:eastAsia="方正黑体_GBK" w:cs="方正黑体_GBK"/>
          <w:b w:val="0"/>
          <w:bCs w:val="0"/>
          <w:color w:val="000000" w:themeColor="text1"/>
          <w:sz w:val="32"/>
          <w:szCs w:val="24"/>
          <w:highlight w:val="none"/>
          <w14:textFill>
            <w14:solidFill>
              <w14:schemeClr w14:val="tx1"/>
            </w14:solidFill>
          </w14:textFill>
        </w:rPr>
        <w:t>附件</w:t>
      </w:r>
      <w:r>
        <w:rPr>
          <w:rFonts w:hint="default" w:ascii="Times New Roman" w:hAnsi="Times New Roman" w:eastAsia="方正仿宋_GBK" w:cs="Times New Roman"/>
          <w:b w:val="0"/>
          <w:bCs w:val="0"/>
          <w:color w:val="000000" w:themeColor="text1"/>
          <w:sz w:val="32"/>
          <w:szCs w:val="24"/>
          <w:highlight w:val="none"/>
          <w14:textFill>
            <w14:solidFill>
              <w14:schemeClr w14:val="tx1"/>
            </w14:solidFill>
          </w14:textFill>
        </w:rPr>
        <w:t>3</w:t>
      </w:r>
      <w:bookmarkEnd w:id="856"/>
      <w:bookmarkEnd w:id="857"/>
      <w:bookmarkEnd w:id="858"/>
      <w:bookmarkEnd w:id="859"/>
      <w:bookmarkEnd w:id="860"/>
      <w:bookmarkEnd w:id="861"/>
    </w:p>
    <w:p>
      <w:pPr>
        <w:pStyle w:val="29"/>
        <w:spacing w:before="120" w:after="120" w:line="560" w:lineRule="exact"/>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pPr>
      <w:bookmarkStart w:id="865" w:name="_Toc62"/>
      <w:bookmarkStart w:id="866" w:name="_Toc684386352"/>
      <w:bookmarkStart w:id="867" w:name="_Toc1653317368"/>
      <w:bookmarkStart w:id="868" w:name="_Toc1903786425"/>
      <w:bookmarkStart w:id="869" w:name="_Toc84945413"/>
      <w:bookmarkStart w:id="870" w:name="_Toc411084119"/>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钦州市文化广电体育和旅游发展</w:t>
      </w:r>
      <w:r>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t>“</w:t>
      </w:r>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十四五</w:t>
      </w:r>
      <w:r>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t>”</w:t>
      </w:r>
      <w:r>
        <w:rPr>
          <w:rFonts w:hint="eastAsia" w:ascii="方正小标宋_GBK" w:hAnsi="方正小标宋_GBK" w:eastAsia="方正小标宋_GBK" w:cs="方正小标宋_GBK"/>
          <w:b w:val="0"/>
          <w:bCs w:val="0"/>
          <w:color w:val="000000" w:themeColor="text1"/>
          <w:sz w:val="44"/>
          <w:szCs w:val="44"/>
          <w:highlight w:val="none"/>
          <w14:textFill>
            <w14:solidFill>
              <w14:schemeClr w14:val="tx1"/>
            </w14:solidFill>
          </w14:textFill>
        </w:rPr>
        <w:t>重点项目表</w:t>
      </w:r>
      <w:bookmarkEnd w:id="862"/>
      <w:bookmarkEnd w:id="865"/>
      <w:bookmarkEnd w:id="866"/>
      <w:bookmarkEnd w:id="867"/>
      <w:bookmarkEnd w:id="868"/>
      <w:bookmarkEnd w:id="869"/>
      <w:bookmarkEnd w:id="870"/>
    </w:p>
    <w:tbl>
      <w:tblPr>
        <w:tblStyle w:val="24"/>
        <w:tblW w:w="1426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03"/>
        <w:gridCol w:w="6"/>
        <w:gridCol w:w="1781"/>
        <w:gridCol w:w="850"/>
        <w:gridCol w:w="7646"/>
        <w:gridCol w:w="1358"/>
        <w:gridCol w:w="1061"/>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4261" w:type="dxa"/>
            <w:gridSpan w:val="8"/>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一、文化和旅游类发展建设项目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序号</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项目名称</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建设性质</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建设内容及规模</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建设年限</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总投资</w: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（万元）</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计划开工时间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钦州市博物馆场馆建设</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投资新建钦州市博物馆场馆，并进行陈展开放。拟建设面积25000平方米，设立固定陈展2个，展出展品800余件。</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钦州市音乐展播厅</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建设高水准专业音乐展播厅，满足人民群众更高的精神文化追求，促进文化事业整体的繁荣和发展，拟在一江两岸新建面积为5000平方，可容纳800</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1000人次音乐展播厅。</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2024</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4500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钦州市非遗文化产业聚集区</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位于钦江东侧古龙窑及缸瓦窑村，占地550 亩，建设集钦州1915 记忆老街、坭兴陶等非遗文化艺术村落、非遗项目展示和体验、非遗产品交易中心、广西（钦州）东盟非遗风情园、动漫文化创意园等为一体的钦州新城市客</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厅。</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150000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坭兴陶文化产业园</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以古陶城为基础，</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按照国家级文化产业示范园区的建设标准，优化提升博物馆、研究中心、培训中心，建设文创基地和文创集群。</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红色文物保护单位修缮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修缮</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本市红色文物较多，大部分建筑因长时间得不到维护和修缮，损坏严重，为了更好提升红色旅游</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需对中共钦县第一届人民政府办公旧址、</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屯茂村、</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六虾村抗战及中共钦县地下党活动旧址、联保小学、新月堂</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等</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进行维修。</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664384" behindDoc="1" locked="0" layoutInCell="1" allowOverlap="1">
                      <wp:simplePos x="0" y="0"/>
                      <wp:positionH relativeFrom="column">
                        <wp:posOffset>-621030</wp:posOffset>
                      </wp:positionH>
                      <wp:positionV relativeFrom="paragraph">
                        <wp:posOffset>320040</wp:posOffset>
                      </wp:positionV>
                      <wp:extent cx="886460" cy="454025"/>
                      <wp:effectExtent l="5080" t="5080" r="17145" b="22860"/>
                      <wp:wrapNone/>
                      <wp:docPr id="43" name="文本框 43"/>
                      <wp:cNvGraphicFramePr/>
                      <a:graphic xmlns:a="http://schemas.openxmlformats.org/drawingml/2006/main">
                        <a:graphicData uri="http://schemas.microsoft.com/office/word/2010/wordprocessingShape">
                          <wps:wsp>
                            <wps:cNvSpPr txBox="true"/>
                            <wps:spPr>
                              <a:xfrm rot="5400000">
                                <a:off x="254000" y="6657340"/>
                                <a:ext cx="886460" cy="4540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101</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8.9pt;margin-top:25.2pt;height:35.75pt;width:69.8pt;rotation:5898240f;z-index:-251652096;mso-width-relative:page;mso-height-relative:page;" fillcolor="#FFFFFF [3201]" filled="t" stroked="t" coordsize="21600,21600" o:gfxdata="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l0szG2AAAAAkBAAAPAAAAAAAAAAEAIAAAADgAAABkcnMvZG93bnJldi54bWxQSwECFAAU&#10;AAAACACHTuJAhwExTk0CAACWBAAADgAAAAAAAAABACAAAAA9AQAAZHJzL2Uyb0RvYy54bWxQSwUG&#10;AAAAAAYABgBZAQAA/AUAAAAA&#10;">
                      <v:fill on="t" focussize="0,0"/>
                      <v:stroke weight="0.5pt" color="#FFFFFF [3212]" joinstyle="round"/>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101</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动漫荔枝精灵王国建设项目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用</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地约200亩</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拟选址在鞍</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山</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附近或荔枝</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小</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镇附近。拟建设动漫主题酒店、动漫科技体验园、动漫光影塔、动漫演艺</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大</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剧场、动漫星光</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大</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道、童话</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风情</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街、卡卡动漫城堡综合体、魔幻森林、少</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儿</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科普研学基地、少</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儿</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拓展基地、其他动漫主题观光等</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文</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旅内容和配套商住项</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目</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6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sz w:val="24"/>
              </w:rPr>
              <mc:AlternateContent>
                <mc:Choice Requires="wps">
                  <w:drawing>
                    <wp:anchor distT="0" distB="0" distL="114300" distR="114300" simplePos="0" relativeHeight="251781120" behindDoc="0" locked="0" layoutInCell="1" allowOverlap="1">
                      <wp:simplePos x="0" y="0"/>
                      <wp:positionH relativeFrom="column">
                        <wp:posOffset>347980</wp:posOffset>
                      </wp:positionH>
                      <wp:positionV relativeFrom="paragraph">
                        <wp:posOffset>737235</wp:posOffset>
                      </wp:positionV>
                      <wp:extent cx="725170" cy="300355"/>
                      <wp:effectExtent l="0" t="0" r="17780" b="4445"/>
                      <wp:wrapNone/>
                      <wp:docPr id="19" name="文本框 19"/>
                      <wp:cNvGraphicFramePr/>
                      <a:graphic xmlns:a="http://schemas.openxmlformats.org/drawingml/2006/main">
                        <a:graphicData uri="http://schemas.microsoft.com/office/word/2010/wordprocessingShape">
                          <wps:wsp>
                            <wps:cNvSpPr txBox="true"/>
                            <wps:spPr>
                              <a:xfrm>
                                <a:off x="9134475" y="6688455"/>
                                <a:ext cx="725170" cy="300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4pt;margin-top:58.05pt;height:23.65pt;width:57.1pt;z-index:251781120;mso-width-relative:page;mso-height-relative:page;" fillcolor="#FFFFFF [3201]" filled="t" stroked="f" coordsize="21600,21600" o:gfxdata="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UYsp+tMA&#10;AAAKAQAADwAAAAAAAAABACAAAAA4AAAAZHJzL2Rvd25yZXYueG1sUEsBAhQAFAAAAAgAh07iQBVz&#10;XzRHAgAAYAQAAA4AAAAAAAAAAQAgAAAAOAEAAGRycy9lMm9Eb2MueG1sUEsFBgAAAAAGAAYAWQEA&#10;APEFA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150000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-641350</wp:posOffset>
                      </wp:positionH>
                      <wp:positionV relativeFrom="paragraph">
                        <wp:posOffset>145415</wp:posOffset>
                      </wp:positionV>
                      <wp:extent cx="827405" cy="460375"/>
                      <wp:effectExtent l="4445" t="4445" r="11430" b="6350"/>
                      <wp:wrapNone/>
                      <wp:docPr id="44" name="文本框 44"/>
                      <wp:cNvGraphicFramePr/>
                      <a:graphic xmlns:a="http://schemas.openxmlformats.org/drawingml/2006/main">
                        <a:graphicData uri="http://schemas.microsoft.com/office/word/2010/wordprocessingShape">
                          <wps:wsp>
                            <wps:cNvSpPr txBox="true"/>
                            <wps:spPr>
                              <a:xfrm rot="5400000">
                                <a:off x="166370" y="174625"/>
                                <a:ext cx="827405" cy="4603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102</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0.5pt;margin-top:11.45pt;height:36.25pt;width:65.15pt;rotation:5898240f;z-index:-251538432;mso-width-relative:page;mso-height-relative:page;" fillcolor="#FFFFFF [3201]" filled="t" stroked="t" coordsize="21600,21600" o:gfxdata="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M/Y6j/ZAAAACQEAAA8AAAAAAAAAAQAgAAAAOAAAAGRycy9kb3ducmV2LnhtbFBL&#10;AQIUABQAAAAIAIdO4kBa726SUQIAAJUEAAAOAAAAAAAAAAEAIAAAAD4BAABkcnMvZTJvRG9jLnht&#10;bFBLBQYAAAAABgAGAFkBAAABBgAAAAA=&#10;">
                      <v:fill on="t" focussize="0,0"/>
                      <v:stroke weight="0.5pt" color="#FFFFFF [3212]" joinstyle="round"/>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102</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pacing w:val="-17"/>
                <w:sz w:val="24"/>
                <w:szCs w:val="24"/>
                <w:highlight w:val="none"/>
                <w14:textFill>
                  <w14:solidFill>
                    <w14:schemeClr w14:val="tx1"/>
                  </w14:solidFill>
                </w14:textFill>
              </w:rPr>
              <w:t>灵山县六峰山风景名胜区旅游综合开发项目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拟用地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主要建设绿</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色</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旅游标识牌</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休闲设施、攀岩项目、路灯、游步道路、观光车</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、亮化绿化工程</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以及相关配套设施。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60000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灵山县大芦古村旅游综合开发项目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建设楹联博物馆，古建筑修缮，完善旅游标识牌，绿化工程及配套设施。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9</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罗阳富硒谷生态乡村旅游区项目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总建筑面积</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58800</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平方米，主要建设游客中心、康养基地综合大楼、特色疗养中心以及相关配套设施设备。</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11876.8</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广西烟霞山风景区基础设施建设项目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计划用地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建设完善综合服务区、农业休闲体验区、民俗文化体验区、丹霞地貌游览区等4大功能区。</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lang w:val="en-US" w:eastAsia="zh-CN"/>
                <w14:textFill>
                  <w14:solidFill>
                    <w14:schemeClr w14:val="tx1"/>
                  </w14:solidFill>
                </w14:textFill>
              </w:rPr>
              <w:t>灵山县烟霞山星空度假酒店</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项目占地8亩</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总建筑面积10000平方米</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主要建设住宿</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餐饮、会议及娱乐配套功能设施，包括酒店主体建筑</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装饰工程、消防工程、设备采购及安装等工程</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建设</w:t>
            </w:r>
            <w:r>
              <w:rPr>
                <w:rFonts w:hint="default" w:ascii="Times New Roman" w:hAnsi="Times New Roman" w:eastAsia="方正仿宋_GBK" w:cs="Times New Roman"/>
                <w:color w:val="000000" w:themeColor="text1"/>
                <w:sz w:val="24"/>
                <w:szCs w:val="24"/>
                <w14:textFill>
                  <w14:solidFill>
                    <w14:schemeClr w14:val="tx1"/>
                  </w14:solidFill>
                </w14:textFill>
              </w:rPr>
              <w:t>等</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 xml:space="preserve"> </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1500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12</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灵山县旅游集散中心项目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总建筑面积3850.07平方米，一栋旅游集散中心综合楼建筑面积3114.55平方米，配套用房建筑面积735.52平方米，建设生态停车场并设车位153个，非机动车停车位372个，车位铺设透水砖，内部道路路面为沥青路面，以及配套高杆灯4盏、停车智能管理系统2套、充电桩绿化、室外电气、室外给排水、道路及场地硬化等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2021-2023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1620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13</w:t>
            </w:r>
          </w:p>
        </w:tc>
        <w:tc>
          <w:tcPr>
            <w:tcW w:w="1787" w:type="dxa"/>
            <w:gridSpan w:val="2"/>
            <w:shd w:val="clear" w:color="auto" w:fill="FFFFFF"/>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方正仿宋_GBK" w:cs="Times New Roman"/>
                <w:color w:val="000000" w:themeColor="text1"/>
                <w:spacing w:val="-20"/>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灵山县萍塘村传统村落旅游开发项目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规划建设</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500亩</w:t>
            </w:r>
            <w:r>
              <w:rPr>
                <w:rFonts w:hint="default" w:ascii="Times New Roman" w:hAnsi="Times New Roman" w:eastAsia="方正仿宋_GBK" w:cs="Times New Roman"/>
                <w:color w:val="000000" w:themeColor="text1"/>
                <w:sz w:val="24"/>
                <w:szCs w:val="24"/>
                <w14:textFill>
                  <w14:solidFill>
                    <w14:schemeClr w14:val="tx1"/>
                  </w14:solidFill>
                </w14:textFill>
              </w:rPr>
              <w:t>古建历史文化保护区、生态农业观光区、古荔园采摘区、旅客接待服务区、农家生活体验区、民俗风情体验区等。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14</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lang w:val="en-US" w:eastAsia="zh-CN"/>
                <w14:textFill>
                  <w14:solidFill>
                    <w14:schemeClr w14:val="tx1"/>
                  </w14:solidFill>
                </w14:textFill>
              </w:rPr>
              <w:t>苏村古建筑群基础设施建设项目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580亩，</w:t>
            </w:r>
            <w:r>
              <w:rPr>
                <w:rFonts w:hint="default" w:ascii="Times New Roman" w:hAnsi="Times New Roman" w:eastAsia="方正仿宋_GBK" w:cs="Times New Roman"/>
                <w:color w:val="000000" w:themeColor="text1"/>
                <w:sz w:val="24"/>
                <w:szCs w:val="24"/>
                <w14:textFill>
                  <w14:solidFill>
                    <w14:schemeClr w14:val="tx1"/>
                  </w14:solidFill>
                </w14:textFill>
              </w:rPr>
              <w:t>拟建设内容为：景区停车场、游客服务中心、卫生公厕</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维修好刘氏古建筑群</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环湖景观道</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82144" behindDoc="0" locked="0" layoutInCell="1" allowOverlap="1">
                      <wp:simplePos x="0" y="0"/>
                      <wp:positionH relativeFrom="column">
                        <wp:posOffset>-12065</wp:posOffset>
                      </wp:positionH>
                      <wp:positionV relativeFrom="paragraph">
                        <wp:posOffset>680720</wp:posOffset>
                      </wp:positionV>
                      <wp:extent cx="652145" cy="212725"/>
                      <wp:effectExtent l="0" t="0" r="14605" b="15875"/>
                      <wp:wrapNone/>
                      <wp:docPr id="20" name="文本框 20"/>
                      <wp:cNvGraphicFramePr/>
                      <a:graphic xmlns:a="http://schemas.openxmlformats.org/drawingml/2006/main">
                        <a:graphicData uri="http://schemas.microsoft.com/office/word/2010/wordprocessingShape">
                          <wps:wsp>
                            <wps:cNvSpPr txBox="true"/>
                            <wps:spPr>
                              <a:xfrm>
                                <a:off x="920750" y="6701155"/>
                                <a:ext cx="652145" cy="212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0.95pt;margin-top:53.6pt;height:16.75pt;width:51.35pt;z-index:251782144;mso-width-relative:page;mso-height-relative:page;" fillcolor="#FFFFFF [3201]" filled="t" stroked="f" coordsize="21600,21600" o:gfxdata="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PosY/HV&#10;AAAACgEAAA8AAAAAAAAAAQAgAAAAOAAAAGRycy9kb3ducmV2LnhtbFBLAQIUABQAAAAIAIdO4kBU&#10;zVbJRgIAAF8EAAAOAAAAAAAAAAEAIAAAADoBAABkcnMvZTJvRG9jLnhtbFBLBQYAAAAABgAGAFkB&#10;AADyBQ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15</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0"/>
                <w:sz w:val="24"/>
                <w:szCs w:val="24"/>
                <w:lang w:val="en-US" w:eastAsia="zh-CN"/>
                <w14:textFill>
                  <w14:solidFill>
                    <w14:schemeClr w14:val="tx1"/>
                  </w14:solidFill>
                </w14:textFill>
              </w:rPr>
              <w:t>伯劳镇邓阳湖农业生态旅游区旅游项目</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620亩，</w:t>
            </w:r>
            <w:r>
              <w:rPr>
                <w:rFonts w:hint="default" w:ascii="Times New Roman" w:hAnsi="Times New Roman" w:eastAsia="方正仿宋_GBK" w:cs="Times New Roman"/>
                <w:color w:val="000000" w:themeColor="text1"/>
                <w:sz w:val="24"/>
                <w:szCs w:val="24"/>
                <w14:textFill>
                  <w14:solidFill>
                    <w14:schemeClr w14:val="tx1"/>
                  </w14:solidFill>
                </w14:textFill>
              </w:rPr>
              <w:t>以邓阳湖及湖周围的荔枝园、龙眼园、芒果园、绿竹园为基础，整合规划湖光山色、</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热带水果等</w:t>
            </w:r>
            <w:r>
              <w:rPr>
                <w:rFonts w:hint="default" w:ascii="Times New Roman" w:hAnsi="Times New Roman" w:eastAsia="方正仿宋_GBK" w:cs="Times New Roman"/>
                <w:color w:val="000000" w:themeColor="text1"/>
                <w:sz w:val="24"/>
                <w:szCs w:val="24"/>
                <w14:textFill>
                  <w14:solidFill>
                    <w14:schemeClr w14:val="tx1"/>
                  </w14:solidFill>
                </w14:textFill>
              </w:rPr>
              <w:t>休闲农业资源，规划建设功能齐全的农业生态旅游区。</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16</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t>灵山县新圩大</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t>庙岭乡村旅游</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t>度假区项目</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Times New Roman" w:hAnsi="Times New Roman" w:eastAsia="方正仿宋_GBK" w:cs="Times New Roman"/>
                <w:color w:val="000000" w:themeColor="text1"/>
                <w:sz w:val="24"/>
                <w:szCs w:val="24"/>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总面积约785730.2平方米，总建筑面积约126344.5平方米。一期主要建设休闲垂钓区、水上乐园、农家乐休闲区、休闲观光区、温泉度假区、康养中心区等。二期主要建设CS野战区、汽车露营地、精品民宿区、茶叶基地、花海、极限运动区、跑马场、森林氧吧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29232</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0"/>
                <w:sz w:val="24"/>
                <w:szCs w:val="24"/>
                <w:lang w:val="en-US" w:eastAsia="zh-CN"/>
                <w14:textFill>
                  <w14:solidFill>
                    <w14:schemeClr w14:val="tx1"/>
                  </w14:solidFill>
                </w14:textFill>
              </w:rPr>
              <w:t>灵山县武利镇文化广场项目</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武利文化广场建设，占地20亩。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2021-2023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18</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pacing w:val="0"/>
                <w:sz w:val="24"/>
                <w:szCs w:val="24"/>
                <w:lang w:val="en-US" w:eastAsia="zh-CN"/>
                <w14:textFill>
                  <w14:solidFill>
                    <w14:schemeClr w14:val="tx1"/>
                  </w14:solidFill>
                </w14:textFill>
              </w:rPr>
              <w:t>灵山县武利镇历史文化街区打造工程</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color w:val="000000" w:themeColor="text1"/>
                <w:sz w:val="24"/>
                <w:szCs w:val="24"/>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结合青云寺，建设青云路、文武路及码头、花桥、陟坊等历史文化配套设施。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2021-2023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19</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spacing w:val="0"/>
                <w:sz w:val="24"/>
                <w:szCs w:val="24"/>
                <w:highlight w:val="none"/>
                <w14:textFill>
                  <w14:solidFill>
                    <w14:schemeClr w14:val="tx1"/>
                  </w14:solidFill>
                </w14:textFill>
              </w:rPr>
              <w:t>马鞍山灵山人遗址公园项目</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项目总建筑面积5110平方米，主要建设遗址博物馆、旅游服务中心、入口文化楼、洗手间、文化景墙、茅草屋、停车场、悬空栈桥及绿化、排水、电气照明等公园配套设施。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13000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0"/>
                <w:sz w:val="24"/>
                <w:szCs w:val="24"/>
                <w:highlight w:val="none"/>
                <w14:textFill>
                  <w14:solidFill>
                    <w14:schemeClr w14:val="tx1"/>
                  </w14:solidFill>
                </w14:textFill>
              </w:rPr>
              <w:t>浦北越州故城文物保护利用项目</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项目规划用地面积约1000平方米，完善</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越州故城</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遗址文物本体及环境保护措施，提升遗址保护和展示条件，丰富其展示内容与展示方式。将</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越州故城</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遗址建设成南流江沿岸具有广泛影响力的考古遗址工程、遗址保护展示示范基地。新建文物管理用房、生态围栏、简易巡防观览道路、成品免水生态厕所等。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2132</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21</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0"/>
                <w:sz w:val="24"/>
                <w:szCs w:val="24"/>
                <w:highlight w:val="none"/>
                <w14:textFill>
                  <w14:solidFill>
                    <w14:schemeClr w14:val="tx1"/>
                  </w14:solidFill>
                </w14:textFill>
              </w:rPr>
              <w:t>浦北县六万山森林旅游度假区</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总建筑面积</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加快经六硍镇的贵港木格至博白水鸣二级公路等基础设施建设，将六万山打造成为生态休闲、健康体验为一体的乡村休闲旅游集聚区。</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22</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pacing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0"/>
                <w:sz w:val="24"/>
                <w:szCs w:val="24"/>
                <w:highlight w:val="none"/>
                <w14:textFill>
                  <w14:solidFill>
                    <w14:schemeClr w14:val="tx1"/>
                  </w14:solidFill>
                </w14:textFill>
              </w:rPr>
              <w:t>浦北县越州天湖旅游度假区</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主要建设游客服务中心、生态停车、生态游步道、餐饮设施、生态旅游厕所、民宿、购物场所及相关配套设施。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10500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23</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五皇山景区提升工程</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总建筑面积14</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9000</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平方米，建设五皇禅寺、百年野生茶园景区、泉水旅游池、生态停车场、马兰综合服务区</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、旅游公路</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等相关配套设施。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30780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24</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浦北县大朗书院文化产业园项目</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大朗书院及周边风貌改造、职业学院、文化长廊、星级酒店、</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文旅</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商业街、文化设施、滨水码头、</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旅游</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道路等设施</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建设</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340000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-731520</wp:posOffset>
                      </wp:positionH>
                      <wp:positionV relativeFrom="paragraph">
                        <wp:posOffset>301625</wp:posOffset>
                      </wp:positionV>
                      <wp:extent cx="1033145" cy="454025"/>
                      <wp:effectExtent l="4445" t="4445" r="17780" b="10160"/>
                      <wp:wrapNone/>
                      <wp:docPr id="45" name="文本框 45"/>
                      <wp:cNvGraphicFramePr/>
                      <a:graphic xmlns:a="http://schemas.openxmlformats.org/drawingml/2006/main">
                        <a:graphicData uri="http://schemas.microsoft.com/office/word/2010/wordprocessingShape">
                          <wps:wsp>
                            <wps:cNvSpPr txBox="true"/>
                            <wps:spPr>
                              <a:xfrm rot="5400000">
                                <a:off x="363855" y="6732905"/>
                                <a:ext cx="1033145" cy="4540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103</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7.6pt;margin-top:23.75pt;height:35.75pt;width:81.35pt;rotation:5898240f;z-index:-251538432;mso-width-relative:page;mso-height-relative:page;" fillcolor="#FFFFFF [3201]" filled="t" stroked="t" coordsize="21600,21600" o:gfxdata="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BbWsJI2QAAAAoBAAAPAAAAAAAAAAEAIAAAADgAAABkcnMvZG93bnJldi54bWxQ&#10;SwECFAAUAAAACACHTuJAO710g1ICAACXBAAADgAAAAAAAAABACAAAAA+AQAAZHJzL2Uyb0RvYy54&#10;bWxQSwUGAAAAAAYABgBZAQAAAgYAAAAA&#10;">
                      <v:fill on="t" focussize="0,0"/>
                      <v:stroke weight="0.5pt" color="#FFFFFF [3212]" joinstyle="round"/>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103</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25</w:t>
            </w:r>
          </w:p>
        </w:tc>
        <w:tc>
          <w:tcPr>
            <w:tcW w:w="1787"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小江瓷文化创意产业园</w:t>
            </w:r>
          </w:p>
        </w:tc>
        <w:tc>
          <w:tcPr>
            <w:tcW w:w="8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富有地方特色、民族风情、文化气息浓、环境优美的产业园，形成生产、创业、创作、培训、交流、旅游的文化创意产业园，引领先进文化、高端艺术，构建精英聚会，大师创作、客商云集的交流平台。</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sz w:val="24"/>
              </w:rPr>
              <mc:AlternateContent>
                <mc:Choice Requires="wps">
                  <w:drawing>
                    <wp:anchor distT="0" distB="0" distL="114300" distR="114300" simplePos="0" relativeHeight="251797504" behindDoc="0" locked="0" layoutInCell="1" allowOverlap="1">
                      <wp:simplePos x="0" y="0"/>
                      <wp:positionH relativeFrom="column">
                        <wp:posOffset>392430</wp:posOffset>
                      </wp:positionH>
                      <wp:positionV relativeFrom="paragraph">
                        <wp:posOffset>570865</wp:posOffset>
                      </wp:positionV>
                      <wp:extent cx="666750" cy="241935"/>
                      <wp:effectExtent l="0" t="0" r="0" b="5715"/>
                      <wp:wrapNone/>
                      <wp:docPr id="62" name="文本框 62"/>
                      <wp:cNvGraphicFramePr/>
                      <a:graphic xmlns:a="http://schemas.openxmlformats.org/drawingml/2006/main">
                        <a:graphicData uri="http://schemas.microsoft.com/office/word/2010/wordprocessingShape">
                          <wps:wsp>
                            <wps:cNvSpPr txBox="true"/>
                            <wps:spPr>
                              <a:xfrm>
                                <a:off x="9149080" y="6765290"/>
                                <a:ext cx="666750" cy="241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9pt;margin-top:44.95pt;height:19.05pt;width:52.5pt;z-index:251797504;mso-width-relative:page;mso-height-relative:page;" fillcolor="#FFFFFF [3201]" filled="t" stroked="f" coordsize="21600,21600" o:gfxdata="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BKuPIF1AAA&#10;AAkBAAAPAAAAAAAAAAEAIAAAADgAAABkcnMvZG93bnJldi54bWxQSwECFAAUAAAACACHTuJAcNBr&#10;ZEUCAABgBAAADgAAAAAAAAABACAAAAA5AQAAZHJzL2Uyb0RvYy54bWxQSwUGAAAAAAYABgBZAQAA&#10;8AU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70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-602615</wp:posOffset>
                      </wp:positionH>
                      <wp:positionV relativeFrom="paragraph">
                        <wp:posOffset>184785</wp:posOffset>
                      </wp:positionV>
                      <wp:extent cx="813435" cy="395605"/>
                      <wp:effectExtent l="0" t="0" r="4445" b="5715"/>
                      <wp:wrapNone/>
                      <wp:docPr id="46" name="文本框 46"/>
                      <wp:cNvGraphicFramePr/>
                      <a:graphic xmlns:a="http://schemas.openxmlformats.org/drawingml/2006/main">
                        <a:graphicData uri="http://schemas.microsoft.com/office/word/2010/wordprocessingShape">
                          <wps:wsp>
                            <wps:cNvSpPr txBox="true"/>
                            <wps:spPr>
                              <a:xfrm rot="5400000">
                                <a:off x="239395" y="161925"/>
                                <a:ext cx="813435" cy="395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104</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7.45pt;margin-top:14.55pt;height:31.15pt;width:64.05pt;rotation:5898240f;z-index:-251538432;mso-width-relative:page;mso-height-relative:page;" fillcolor="#FFFFFF [3201]" filled="t" stroked="f" coordsize="21600,21600" o:gfxdata="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JvplD7aAAAACAEAAA8AAAAAAAAAAQAgAAAAOAAAAGRycy9kb3ducmV2LnhtbFBLAQIU&#10;ABQAAAAIAIdO4kDp/LxHTQIAAGwEAAAOAAAAAAAAAAEAIAAAAD8BAABkcnMvZTJvRG9jLnhtbFBL&#10;BQYAAAAABgAGAFkBAAD+BQ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104</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26</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浦北县北通镇至五皇山健身步道</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建设一条长15公里，宽4米健身步道，配套建设休息亭3个及标识牌。</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27</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0"/>
                <w:sz w:val="24"/>
                <w:szCs w:val="24"/>
                <w:highlight w:val="none"/>
                <w:lang w:val="en-US" w:eastAsia="zh-CN"/>
                <w14:textFill>
                  <w14:solidFill>
                    <w14:schemeClr w14:val="tx1"/>
                  </w14:solidFill>
                </w14:textFill>
              </w:rPr>
              <w:t>钦州市北部湾国际生态健康旅游综合体项目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项目分两期建设，项目主要通过林种、林相的改造建设开发以生态观光类、生态休闲项目、生态科普、体验项目、生态度假项目等，形成具有当地特色的生态健康、旅游目的地。</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28</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浦北县图书馆新建项目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新建图书馆4500平方米。</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2021-2022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1200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29</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浦北县北通镇坪田村乡村旅游区提升工程</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美化、亮化村道村庄38000平方米，建设民宿10间，文化活动中心1间，旅游厕所1间。</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2021-2023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越州古城</w:t>
            </w:r>
            <w:r>
              <w:rPr>
                <w:rFonts w:hint="eastAsia" w:ascii="Times New Roman" w:hAnsi="Times New Roman" w:eastAsia="方正仿宋_GBK" w:cs="Times New Roman"/>
                <w:color w:val="000000" w:themeColor="text1"/>
                <w:spacing w:val="-20"/>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夜</w:t>
            </w:r>
            <w:r>
              <w:rPr>
                <w:rFonts w:hint="default" w:ascii="Times New Roman" w:hAnsi="Times New Roman" w:eastAsia="方正仿宋_GBK" w:cs="Times New Roman"/>
                <w:color w:val="000000" w:themeColor="text1"/>
                <w:spacing w:val="0"/>
                <w:sz w:val="24"/>
                <w:szCs w:val="24"/>
                <w14:textFill>
                  <w14:solidFill>
                    <w14:schemeClr w14:val="tx1"/>
                  </w14:solidFill>
                </w14:textFill>
              </w:rPr>
              <w:t>•</w:t>
            </w: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水街</w:t>
            </w:r>
            <w:r>
              <w:rPr>
                <w:rFonts w:hint="eastAsia" w:ascii="Times New Roman" w:hAnsi="Times New Roman" w:eastAsia="方正仿宋_GBK" w:cs="Times New Roman"/>
                <w:color w:val="000000" w:themeColor="text1"/>
                <w:spacing w:val="-20"/>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用地约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600亩，</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在马江河沿岸建设一条滨水步行街，打造越州文化水景长廊，建设露天影院、水上乐园、美食街、旅游夜市等。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世界长寿之乡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广西浦北县越州寿仙湖精准扶贫农业生态康养旅游项目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建设2000亩中式民居村落、临水养生木屋、游船码头、四季果岭、美食屋、无公害种植基地等旅游设施。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2018-2022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13000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32</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钦州老街国家级休闲街区</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创建区域为占鳌</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巷</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，中山路（一马路到三马路区间），</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通过科学改造方式让原有古建筑与现代化商业有机结合，着重改造修缮现有建筑群落，强化人文景观塑造，形成地方旅游文化新名片。</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85216" behindDoc="0" locked="0" layoutInCell="1" allowOverlap="1">
                      <wp:simplePos x="0" y="0"/>
                      <wp:positionH relativeFrom="column">
                        <wp:posOffset>-107950</wp:posOffset>
                      </wp:positionH>
                      <wp:positionV relativeFrom="paragraph">
                        <wp:posOffset>836295</wp:posOffset>
                      </wp:positionV>
                      <wp:extent cx="813435" cy="293370"/>
                      <wp:effectExtent l="0" t="0" r="5715" b="11430"/>
                      <wp:wrapNone/>
                      <wp:docPr id="24" name="文本框 24"/>
                      <wp:cNvGraphicFramePr/>
                      <a:graphic xmlns:a="http://schemas.openxmlformats.org/drawingml/2006/main">
                        <a:graphicData uri="http://schemas.microsoft.com/office/word/2010/wordprocessingShape">
                          <wps:wsp>
                            <wps:cNvSpPr txBox="true"/>
                            <wps:spPr>
                              <a:xfrm>
                                <a:off x="803275" y="6703060"/>
                                <a:ext cx="813435" cy="2933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5pt;margin-top:65.85pt;height:23.1pt;width:64.05pt;z-index:251785216;mso-width-relative:page;mso-height-relative:page;" fillcolor="#FFFFFF [3201]" filled="t" stroked="f" coordsize="21600,21600" o:gfxdata="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Vo8StNQA&#10;AAALAQAADwAAAAAAAAABACAAAAA4AAAAZHJzL2Rvd25yZXYueG1sUEsBAhQAFAAAAAgAh07iQFLd&#10;H6hGAgAAXwQAAA4AAAAAAAAAAQAgAAAAOQEAAGRycy9lMm9Eb2MueG1sUEsFBgAAAAAGAAYAWQEA&#10;APEFAA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784192" behindDoc="0" locked="0" layoutInCell="1" allowOverlap="1">
                      <wp:simplePos x="0" y="0"/>
                      <wp:positionH relativeFrom="column">
                        <wp:posOffset>-85725</wp:posOffset>
                      </wp:positionH>
                      <wp:positionV relativeFrom="paragraph">
                        <wp:posOffset>1125855</wp:posOffset>
                      </wp:positionV>
                      <wp:extent cx="747395" cy="337185"/>
                      <wp:effectExtent l="0" t="0" r="14605" b="5715"/>
                      <wp:wrapNone/>
                      <wp:docPr id="23" name="文本框 23"/>
                      <wp:cNvGraphicFramePr/>
                      <a:graphic xmlns:a="http://schemas.openxmlformats.org/drawingml/2006/main">
                        <a:graphicData uri="http://schemas.microsoft.com/office/word/2010/wordprocessingShape">
                          <wps:wsp>
                            <wps:cNvSpPr txBox="true"/>
                            <wps:spPr>
                              <a:xfrm>
                                <a:off x="847725" y="6639560"/>
                                <a:ext cx="747395" cy="337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75pt;margin-top:88.65pt;height:26.55pt;width:58.85pt;z-index:251784192;mso-width-relative:page;mso-height-relative:page;" fillcolor="#FFFFFF [3201]" filled="t" stroked="f" coordsize="21600,21600" o:gfxdata="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BOn2ctYA&#10;AAALAQAADwAAAAAAAAABACAAAAA4AAAAZHJzL2Rvd25yZXYueG1sUEsBAhQAFAAAAAgAh07iQCjU&#10;cIpEAgAAXwQAAA4AAAAAAAAAAQAgAAAAOwEAAGRycy9lMm9Eb2MueG1sUEsFBgAAAAAGAAYAWQEA&#10;APEFA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33</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老旧城区改造提升项目（钦州老街景区改造提升工程）</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中山路（新兴路至一马路段）和占鳌巷（三马路至苏廷有旧居段）沿线道路提升改造、沿街商铺外立面修缮和房屋加固，括沙尾街冯子材故居、城内街思源公园、古城墙东城门范围、广州会馆、第一旅社、四座英雄雕塑（小董起义、苏三娘、黄明堂、岳霖）等公共服务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2020-2022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25682</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34</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那雾山负氧休养旅游特色示范基地项目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主要建设景观大道、产品销售中心、游客服务中心、配套民宿、健康疗养中心及配套服务设施等，总建筑面积9</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2500</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平方米。</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35</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那雾山生态园</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提升项目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项目新建规划用地总面积155.2亩，一期建设观光玻璃吊桥，二期建设观光长廊、森林草原滑草、水上碰碰船，三期建设森林人造海浪、森林高空秋千、山泉水厂、茶叶加工厂等。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36</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北部湾花卉小镇</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森林生态文化旅游示范区项目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项目规划面积955.5亩，项目分两期建设。一期规划面积219亩，重点建设入口服务中心、四季花海 、林垦文化园 、四季瓜果园、垂钓乐园、丛林烧烤场六个功能区的景点和旅游设施。二期规划面积736.5亩，重点建设生态养生餐厅、拓展乐园、荷塘月色、卡丁车赛场、农家民宿区、森林康养中心等功能区的景点和旅游设施。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90000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37</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辣椒槌滨海康养小镇</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重点建设滨海公园：</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公园功能性配套用房、礼堂、服务驿站。建设滨海温泉度假酒店：占地约80亩，拟建温泉会所、SPA养生馆、室外温泉泡池。建设</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五星级标准洲际度假酒店及周边度假区项目（含汽车度假营地）。</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38</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钦南区东场镇九河渡度假旅游片区</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总建筑面积124</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0000</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平方米，主要建设观光酒店、安园小镇、特色民宿、游客中心、标准</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游泳</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池、冰雪世界、四季花海等。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1064000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39</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滨海新城沙井岛片区整体开发项目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项目</w:t>
            </w:r>
            <w:r>
              <w:rPr>
                <w:rFonts w:hint="default" w:ascii="Times New Roman" w:hAnsi="Times New Roman" w:eastAsia="方正仿宋_GBK" w:cs="Times New Roman"/>
                <w:color w:val="000000" w:themeColor="text1"/>
                <w:sz w:val="24"/>
                <w:szCs w:val="24"/>
                <w14:textFill>
                  <w14:solidFill>
                    <w14:schemeClr w14:val="tx1"/>
                  </w14:solidFill>
                </w14:textFill>
              </w:rPr>
              <w:t>占地19935亩，主要建设现代居住、商务商业、主题乐园、公共服务基础设施</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配套</w:t>
            </w:r>
            <w:r>
              <w:rPr>
                <w:rFonts w:hint="default" w:ascii="Times New Roman" w:hAnsi="Times New Roman" w:eastAsia="方正仿宋_GBK" w:cs="Times New Roman"/>
                <w:color w:val="000000" w:themeColor="text1"/>
                <w:sz w:val="24"/>
                <w:szCs w:val="24"/>
                <w14:textFill>
                  <w14:solidFill>
                    <w14:schemeClr w14:val="tx1"/>
                  </w14:solidFill>
                </w14:textFill>
              </w:rPr>
              <w:t>以及绿地</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水系等项目。</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2024-2030</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3500000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40</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滨海新城沙井岛片区游艇码头项目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项目建设地点在沙井岛南端、茅尾海西岸。占地330亩，主要建设游艇码头及配套设施等。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2024-2030</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-629285</wp:posOffset>
                      </wp:positionH>
                      <wp:positionV relativeFrom="paragraph">
                        <wp:posOffset>326390</wp:posOffset>
                      </wp:positionV>
                      <wp:extent cx="834390" cy="483235"/>
                      <wp:effectExtent l="0" t="0" r="12065" b="3810"/>
                      <wp:wrapNone/>
                      <wp:docPr id="48" name="文本框 48"/>
                      <wp:cNvGraphicFramePr/>
                      <a:graphic xmlns:a="http://schemas.openxmlformats.org/drawingml/2006/main">
                        <a:graphicData uri="http://schemas.microsoft.com/office/word/2010/wordprocessingShape">
                          <wps:wsp>
                            <wps:cNvSpPr txBox="true"/>
                            <wps:spPr>
                              <a:xfrm rot="5400000">
                                <a:off x="224790" y="238125"/>
                                <a:ext cx="834390" cy="483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105</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9.55pt;margin-top:25.7pt;height:38.05pt;width:65.7pt;rotation:5898240f;z-index:-251538432;mso-width-relative:page;mso-height-relative:page;" fillcolor="#FFFFFF [3201]" filled="t" stroked="f" coordsize="21600,21600" o:gfxdata="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BSnJf/aAAAACQEAAA8AAAAAAAAAAQAgAAAAOAAAAGRycy9kb3ducmV2LnhtbFBLAQIU&#10;ABQAAAAIAIdO4kCjVjdCTQIAAGwEAAAOAAAAAAAAAAEAIAAAAD8BAABkcnMvZTJvRG9jLnhtbFBL&#10;BQYAAAAABgAGAFkBAAD+BQ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105</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茅尾海旅游度假综合开发项目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建设范围约</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1000亩</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定位为打造成集体育、旅游、休闲、养身、渔家文化为一体的滨海小镇，主要建设万人滨海浴场、海钓渔船码头、水上运动码头、沙滩运动场、观景长廊、瞭望塔、旅拍摄影基地、游客服务中心、度假酒店、特色餐吧等基础服务设施以及配套景观绿化亮化工程。</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sz w:val="24"/>
              </w:rPr>
              <mc:AlternateContent>
                <mc:Choice Requires="wps">
                  <w:drawing>
                    <wp:anchor distT="0" distB="0" distL="114300" distR="114300" simplePos="0" relativeHeight="251798528" behindDoc="0" locked="0" layoutInCell="1" allowOverlap="1">
                      <wp:simplePos x="0" y="0"/>
                      <wp:positionH relativeFrom="column">
                        <wp:posOffset>356235</wp:posOffset>
                      </wp:positionH>
                      <wp:positionV relativeFrom="paragraph">
                        <wp:posOffset>851535</wp:posOffset>
                      </wp:positionV>
                      <wp:extent cx="666750" cy="209550"/>
                      <wp:effectExtent l="0" t="0" r="0" b="0"/>
                      <wp:wrapNone/>
                      <wp:docPr id="63" name="文本框 63"/>
                      <wp:cNvGraphicFramePr/>
                      <a:graphic xmlns:a="http://schemas.openxmlformats.org/drawingml/2006/main">
                        <a:graphicData uri="http://schemas.microsoft.com/office/word/2010/wordprocessingShape">
                          <wps:wsp>
                            <wps:cNvSpPr txBox="true"/>
                            <wps:spPr>
                              <a:xfrm>
                                <a:off x="9119870" y="6715760"/>
                                <a:ext cx="66675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8.05pt;margin-top:67.05pt;height:16.5pt;width:52.5pt;z-index:251798528;mso-width-relative:page;mso-height-relative:page;" fillcolor="#FFFFFF [3201]" filled="t" stroked="f" coordsize="21600,21600" o:gfxdata="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ZYsCd0gAAAAoB&#10;AAAPAAAAAAAAAAEAIAAAADgAAABkcnMvZG93bnJldi54bWxQSwECFAAUAAAACACHTuJAUkbuz0QC&#10;AABgBAAADgAAAAAAAAABACAAAAA3AQAAZHJzL2Uyb0RvYy54bWxQSwUGAAAAAAYABgBZAQAA7QUA&#10;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-600710</wp:posOffset>
                      </wp:positionH>
                      <wp:positionV relativeFrom="paragraph">
                        <wp:posOffset>142875</wp:posOffset>
                      </wp:positionV>
                      <wp:extent cx="857250" cy="447040"/>
                      <wp:effectExtent l="0" t="0" r="10160" b="0"/>
                      <wp:wrapNone/>
                      <wp:docPr id="49" name="文本框 49"/>
                      <wp:cNvGraphicFramePr/>
                      <a:graphic xmlns:a="http://schemas.openxmlformats.org/drawingml/2006/main">
                        <a:graphicData uri="http://schemas.microsoft.com/office/word/2010/wordprocessingShape">
                          <wps:wsp>
                            <wps:cNvSpPr txBox="true"/>
                            <wps:spPr>
                              <a:xfrm rot="5400000">
                                <a:off x="254000" y="126365"/>
                                <a:ext cx="857250"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106</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7.3pt;margin-top:11.25pt;height:35.2pt;width:67.5pt;rotation:5898240f;z-index:-251538432;mso-width-relative:page;mso-height-relative:page;" fillcolor="#FFFFFF [3201]" filled="t" stroked="f" coordsize="21600,21600" o:gfxdata="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PqFKy3aAAAACAEAAA8AAAAAAAAAAQAgAAAAOAAAAGRycy9kb3ducmV2LnhtbFBLAQIUABQA&#10;AAAIAIdO4kDcvirDSgIAAGwEAAAOAAAAAAAAAAEAIAAAAD8BAABkcnMvZTJvRG9jLnhtbFBLBQYA&#10;AAAABgAGAFkBAAD7BQ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106</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42</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东盟影视康养度假区项</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项目用地面积120亩，总建筑面积144072平方米，主要建设主题广场区、影视旅游制作体验区、演艺中心、配套服务设施、壮族和东盟特色影视街区等。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43</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孔雀湾海滨度假酒店项目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项目占地面积150亩，总建筑面积75000平方米。酒店按五星级标准建造，拥有豪华套房，商务套房，配备会议厅，餐饮中心及配套健身娱乐、休闲度假等设施。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2023-2027</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44</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东盟商务酒店项目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项目总占地面积80亩。地上总建筑面积12090.4平方米，建设商务套房，配备会议厅，餐饮中心及配套健身娱乐、休闲度假等设施。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28000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45</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钦州市龙门蚝湾大蚝产业示范区</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主要建设3000亩滨海康养旅游度假基地，其中主要建设内容：10万平方米民宿、600亩渔光综合利用区、800米大蚝美食长廊、旅游码头、150亩休闲沙滩和100亩沙滩岛、钦州大蚝交易中心。</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2018-2023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46</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一江两岸文化品质提升项目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建设市政道路（包括滨河东路青年水闸至五桥段、滨河西路青年水闸至五桥段）4000米，配套建设停车位，新能源充电设施，古龙窑文化传承配套设施，古博易场公厕、无障碍设施、亲水步道入口、停车场等便民设施及园林绿化景观等配套设施工程。</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2021-2023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24000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47</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中国（广西）自由贸易试验区钦州港片区工人文化宫项目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占地</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约27亩，建设文化宫主楼（内含礼堂、会议室、展示厅、餐厅、培训教室、多功能影院及相应的辅助设施等）、全民健身中心（内含篮球场、气排球场、羽毛球场、桌球室、兵乓球场、健身房等），室外部分含有：室外篮球场、排球场、网球场，五人制足球场、潮汐泳池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2022-2023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14049</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48</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广西演艺职业学院附属钦州市艺术学校</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项目分两期</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建设</w:t>
            </w:r>
            <w:r>
              <w:rPr>
                <w:rFonts w:hint="default" w:ascii="Times New Roman" w:hAnsi="Times New Roman" w:eastAsia="方正仿宋_GBK" w:cs="Times New Roman"/>
                <w:color w:val="000000" w:themeColor="text1"/>
                <w:sz w:val="24"/>
                <w:szCs w:val="24"/>
                <w14:textFill>
                  <w14:solidFill>
                    <w14:schemeClr w14:val="tx1"/>
                  </w14:solidFill>
                </w14:textFill>
              </w:rPr>
              <w:t>，一期租赁</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中马阳光小学整体</w:t>
            </w:r>
            <w:r>
              <w:rPr>
                <w:rFonts w:hint="default" w:ascii="Times New Roman" w:hAnsi="Times New Roman" w:eastAsia="方正仿宋_GBK" w:cs="Times New Roman"/>
                <w:color w:val="000000" w:themeColor="text1"/>
                <w:sz w:val="24"/>
                <w:szCs w:val="24"/>
                <w14:textFill>
                  <w14:solidFill>
                    <w14:schemeClr w14:val="tx1"/>
                  </w14:solidFill>
                </w14:textFill>
              </w:rPr>
              <w:t>和</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部分</w:t>
            </w:r>
            <w:r>
              <w:rPr>
                <w:rFonts w:hint="default" w:ascii="Times New Roman" w:hAnsi="Times New Roman" w:eastAsia="方正仿宋_GBK" w:cs="Times New Roman"/>
                <w:color w:val="000000" w:themeColor="text1"/>
                <w:sz w:val="24"/>
                <w:szCs w:val="24"/>
                <w14:textFill>
                  <w14:solidFill>
                    <w14:schemeClr w14:val="tx1"/>
                  </w14:solidFill>
                </w14:textFill>
              </w:rPr>
              <w:t>青年公寓先行办学，</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主要开设跨境电子商务、工艺美术、音乐、舞蹈表演等特色专业。</w:t>
            </w:r>
            <w:r>
              <w:rPr>
                <w:rFonts w:hint="default" w:ascii="Times New Roman" w:hAnsi="Times New Roman" w:eastAsia="方正仿宋_GBK" w:cs="Times New Roman"/>
                <w:color w:val="000000" w:themeColor="text1"/>
                <w:sz w:val="24"/>
                <w:szCs w:val="24"/>
                <w14:textFill>
                  <w14:solidFill>
                    <w14:schemeClr w14:val="tx1"/>
                  </w14:solidFill>
                </w14:textFill>
              </w:rPr>
              <w:t>二期规划</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新</w:t>
            </w:r>
            <w:r>
              <w:rPr>
                <w:rFonts w:hint="default" w:ascii="Times New Roman" w:hAnsi="Times New Roman" w:eastAsia="方正仿宋_GBK" w:cs="Times New Roman"/>
                <w:color w:val="000000" w:themeColor="text1"/>
                <w:sz w:val="24"/>
                <w:szCs w:val="24"/>
                <w14:textFill>
                  <w14:solidFill>
                    <w14:schemeClr w14:val="tx1"/>
                  </w14:solidFill>
                </w14:textFill>
              </w:rPr>
              <w:t>建校区</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，规划</w:t>
            </w:r>
            <w:r>
              <w:rPr>
                <w:rFonts w:hint="default" w:ascii="Times New Roman" w:hAnsi="Times New Roman" w:eastAsia="方正仿宋_GBK" w:cs="Times New Roman"/>
                <w:color w:val="000000" w:themeColor="text1"/>
                <w:sz w:val="24"/>
                <w:szCs w:val="24"/>
                <w14:textFill>
                  <w14:solidFill>
                    <w14:schemeClr w14:val="tx1"/>
                  </w14:solidFill>
                </w14:textFill>
              </w:rPr>
              <w:t>用地</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约</w:t>
            </w:r>
            <w:r>
              <w:rPr>
                <w:rFonts w:hint="default" w:ascii="Times New Roman" w:hAnsi="Times New Roman" w:eastAsia="方正仿宋_GBK" w:cs="Times New Roman"/>
                <w:color w:val="000000" w:themeColor="text1"/>
                <w:sz w:val="24"/>
                <w:szCs w:val="24"/>
                <w14:textFill>
                  <w14:solidFill>
                    <w14:schemeClr w14:val="tx1"/>
                  </w14:solidFill>
                </w14:textFill>
              </w:rPr>
              <w:t>200亩，总建筑面积87025</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平方米</w:t>
            </w:r>
            <w:r>
              <w:rPr>
                <w:rFonts w:hint="default" w:ascii="Times New Roman" w:hAnsi="Times New Roman" w:eastAsia="方正仿宋_GBK" w:cs="Times New Roman"/>
                <w:color w:val="000000" w:themeColor="text1"/>
                <w:sz w:val="24"/>
                <w:szCs w:val="24"/>
                <w14:textFill>
                  <w14:solidFill>
                    <w14:schemeClr w14:val="tx1"/>
                  </w14:solidFill>
                </w14:textFill>
              </w:rPr>
              <w:t>，主要建设</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内容包括</w:t>
            </w:r>
            <w:r>
              <w:rPr>
                <w:rFonts w:hint="default" w:ascii="Times New Roman" w:hAnsi="Times New Roman" w:eastAsia="方正仿宋_GBK" w:cs="Times New Roman"/>
                <w:color w:val="000000" w:themeColor="text1"/>
                <w:sz w:val="24"/>
                <w:szCs w:val="24"/>
                <w14:textFill>
                  <w14:solidFill>
                    <w14:schemeClr w14:val="tx1"/>
                  </w14:solidFill>
                </w14:textFill>
              </w:rPr>
              <w:t>专业教学楼</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实训用房</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图书阅览室</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室内体育馆、心理咨询室及办公用房、教研室</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、学生宿舍</w:t>
            </w:r>
            <w:r>
              <w:rPr>
                <w:rFonts w:hint="default" w:ascii="Times New Roman" w:hAnsi="Times New Roman" w:eastAsia="方正仿宋_GBK" w:cs="Times New Roman"/>
                <w:color w:val="000000" w:themeColor="text1"/>
                <w:sz w:val="24"/>
                <w:szCs w:val="24"/>
                <w14:textFill>
                  <w14:solidFill>
                    <w14:schemeClr w14:val="tx1"/>
                  </w14:solidFill>
                </w14:textFill>
              </w:rPr>
              <w:t>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51</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87264" behindDoc="0" locked="0" layoutInCell="1" allowOverlap="1">
                      <wp:simplePos x="0" y="0"/>
                      <wp:positionH relativeFrom="column">
                        <wp:posOffset>-93345</wp:posOffset>
                      </wp:positionH>
                      <wp:positionV relativeFrom="paragraph">
                        <wp:posOffset>773430</wp:posOffset>
                      </wp:positionV>
                      <wp:extent cx="879475" cy="209550"/>
                      <wp:effectExtent l="0" t="0" r="15875" b="0"/>
                      <wp:wrapNone/>
                      <wp:docPr id="34" name="文本框 34"/>
                      <wp:cNvGraphicFramePr/>
                      <a:graphic xmlns:a="http://schemas.openxmlformats.org/drawingml/2006/main">
                        <a:graphicData uri="http://schemas.microsoft.com/office/word/2010/wordprocessingShape">
                          <wps:wsp>
                            <wps:cNvSpPr txBox="true"/>
                            <wps:spPr>
                              <a:xfrm>
                                <a:off x="803275" y="6722110"/>
                                <a:ext cx="87947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7.35pt;margin-top:60.9pt;height:16.5pt;width:69.25pt;z-index:251787264;mso-width-relative:page;mso-height-relative:page;" fillcolor="#FFFFFF [3201]" filled="t" stroked="f" coordsize="21600,21600" o:gfxdata="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APXsh/UAAAA&#10;CwEAAA8AAAAAAAAAAQAgAAAAOAAAAGRycy9kb3ducmV2LnhtbFBLAQIUABQAAAAIAIdO4kA2CrFY&#10;RAIAAF8EAAAOAAAAAAAAAAEAIAAAADkBAABkcnMvZTJvRG9jLnhtbFBLBQYAAAAABgAGAFkBAADv&#10;BQ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49</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宁越文旅综合体</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对文旅街区进行升级，建设形象门楼</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游客接待中心</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文旅商品销售中心</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景观、外立面形象改造</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灯光改造等旅游</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基础</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设施</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50</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钦北区文化馆项目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建设一栋3500-4500平方米的文化综合馆，包括办公室、档案室、多功能厅、舞蹈排练厅、非物质文化遗产展厅、培训室、美术摄影室、声乐室、体育活动室、乒乓球室、健身房等。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北部湾望海岭国际滑翔伞基地项目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建设内容包含2个起飞点和2个降落点以及游客服务中心、主题旅馆、盘山公路、观景平台及长廊、停车场、</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旅游厕所</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、绿化景观等工程</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800亩。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317000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52</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飞翔小镇运动休闲旅游开发项目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建设以国际滑翔伞运动为先导，以综合体验式运动休闲旅游为主体功能，打造兼有地方历史文化、生态文化和山居功能的度假旅游区</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400亩。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53</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钦北区王岗山景区开发项目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主要建设</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原始森林观光旅游综合开发、生态养生养老休闲度假游等项目。</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54</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lang w:eastAsia="zh-CN"/>
                <w14:textFill>
                  <w14:solidFill>
                    <w14:schemeClr w14:val="tx1"/>
                  </w14:solidFill>
                </w14:textFill>
              </w:rPr>
              <w:t>大垌康养特色小镇项目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康养项目</w:t>
            </w:r>
            <w:r>
              <w:rPr>
                <w:rFonts w:hint="default" w:ascii="Times New Roman" w:hAnsi="Times New Roman" w:eastAsia="方正仿宋_GBK" w:cs="Times New Roman"/>
                <w:color w:val="000000" w:themeColor="text1"/>
                <w:sz w:val="24"/>
                <w:szCs w:val="24"/>
                <w14:textFill>
                  <w14:solidFill>
                    <w14:schemeClr w14:val="tx1"/>
                  </w14:solidFill>
                </w14:textFill>
              </w:rPr>
              <w:t>连片开发，</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完善健康养老、旅游休闲等基础设施配套建设</w:t>
            </w:r>
            <w:r>
              <w:rPr>
                <w:rFonts w:hint="default" w:ascii="Times New Roman" w:hAnsi="Times New Roman" w:eastAsia="方正仿宋_GBK" w:cs="Times New Roman"/>
                <w:color w:val="000000" w:themeColor="text1"/>
                <w:sz w:val="24"/>
                <w:szCs w:val="24"/>
                <w14:textFill>
                  <w14:solidFill>
                    <w14:schemeClr w14:val="tx1"/>
                  </w14:solidFill>
                </w14:textFill>
              </w:rPr>
              <w:t>。</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2024-2028</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55</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小董镇爱国主义教育红色旅游基地项目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重点保护并利用好铜鱼书院、联保学堂、八甲村钦县旧址、小董起义纪念碑等红色历史资源，打造小董镇爱国主义体验基地,同时，把生态旅游与红色旅游结合起来，形成小董生态、红色、商贸旅游名镇</w:t>
            </w:r>
          </w:p>
        </w:tc>
        <w:tc>
          <w:tcPr>
            <w:tcW w:w="1358" w:type="dxa"/>
            <w:shd w:val="clear" w:color="auto" w:fill="FFFFFF"/>
            <w:noWrap/>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56</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lang w:eastAsia="zh-CN"/>
                <w14:textFill>
                  <w14:solidFill>
                    <w14:schemeClr w14:val="tx1"/>
                  </w14:solidFill>
                </w14:textFill>
              </w:rPr>
              <w:t>贵台镇高黎旅游开发项目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规划面积2000亩，打造成为与八寨沟风景区相辅相成，结合自然风光游玩、乡村旅游体验、爱国教育学习、药材种植及深加工、休闲度假、科普教育、野生动物主题森林公园为一体的综合型旅游项目。</w:t>
            </w:r>
          </w:p>
        </w:tc>
        <w:tc>
          <w:tcPr>
            <w:tcW w:w="1358" w:type="dxa"/>
            <w:shd w:val="clear" w:color="auto" w:fill="FFFFFF"/>
            <w:noWrap/>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57</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lang w:eastAsia="zh-CN"/>
                <w14:textFill>
                  <w14:solidFill>
                    <w14:schemeClr w14:val="tx1"/>
                  </w14:solidFill>
                </w14:textFill>
              </w:rPr>
              <w:t>贵台镇洞利河旅游开发项目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用地总规模</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20亩</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该项目主要建设迎宾牌楼及广场、滨河风景大道、滨河游览步道网、风情水乡街区、水上游乐、体育运动项目，景区以生态沟谷体验、生态康体健身、生态休闲度假、生态亲水体验为主要功能，附属人文体验、登山探险、生态科普、生态漂游等旅游功能。</w:t>
            </w:r>
          </w:p>
        </w:tc>
        <w:tc>
          <w:tcPr>
            <w:tcW w:w="1358" w:type="dxa"/>
            <w:shd w:val="clear" w:color="auto" w:fill="FFFFFF"/>
            <w:noWrap/>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58</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白玉兰酒店品牌升级项目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规划用地面积为9亩，拥有多媒体会议室、自助餐厅、自助洗衣房、免费停车场等服务配套设施，打造高品质连锁酒店品牌。</w:t>
            </w:r>
          </w:p>
        </w:tc>
        <w:tc>
          <w:tcPr>
            <w:tcW w:w="1358" w:type="dxa"/>
            <w:shd w:val="clear" w:color="auto" w:fill="FFFFFF"/>
            <w:noWrap/>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2020-2022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18000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-611505</wp:posOffset>
                      </wp:positionH>
                      <wp:positionV relativeFrom="paragraph">
                        <wp:posOffset>236855</wp:posOffset>
                      </wp:positionV>
                      <wp:extent cx="850265" cy="467995"/>
                      <wp:effectExtent l="0" t="0" r="8255" b="6985"/>
                      <wp:wrapNone/>
                      <wp:docPr id="50" name="文本框 50"/>
                      <wp:cNvGraphicFramePr/>
                      <a:graphic xmlns:a="http://schemas.openxmlformats.org/drawingml/2006/main">
                        <a:graphicData uri="http://schemas.microsoft.com/office/word/2010/wordprocessingShape">
                          <wps:wsp>
                            <wps:cNvSpPr txBox="true"/>
                            <wps:spPr>
                              <a:xfrm rot="5400000">
                                <a:off x="649605" y="6795770"/>
                                <a:ext cx="850265" cy="4679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107</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8.15pt;margin-top:18.65pt;height:36.85pt;width:66.95pt;rotation:5898240f;z-index:-251538432;mso-width-relative:page;mso-height-relative:page;" fillcolor="#FFFFFF [3201]" filled="t" stroked="f" coordsize="21600,21600" o:gfxdata="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Zi6N6tkAAAAJAQAADwAAAAAAAAABACAAAAA4AAAAZHJzL2Rvd25yZXYueG1sUEsBAhQAFAAA&#10;AAgAh07iQNUorilKAgAAbQQAAA4AAAAAAAAAAQAgAAAAPgEAAGRycy9lMm9Eb2MueG1sUEsFBgAA&#10;AAAGAAYAWQEAAPoFA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107</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59</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钦北区经济技术开发区综合配套项目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建设民俗风情街、文化广场、民族会馆、旅游服务中心等城市综合体配套设施，总建筑面积约1546200平方米。</w:t>
            </w:r>
          </w:p>
        </w:tc>
        <w:tc>
          <w:tcPr>
            <w:tcW w:w="1358" w:type="dxa"/>
            <w:shd w:val="clear" w:color="auto" w:fill="FFFFFF"/>
            <w:noWrap/>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2018-2023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sz w:val="24"/>
              </w:rPr>
              <mc:AlternateContent>
                <mc:Choice Requires="wps">
                  <w:drawing>
                    <wp:anchor distT="0" distB="0" distL="114300" distR="114300" simplePos="0" relativeHeight="251788288" behindDoc="0" locked="0" layoutInCell="1" allowOverlap="1">
                      <wp:simplePos x="0" y="0"/>
                      <wp:positionH relativeFrom="column">
                        <wp:posOffset>391795</wp:posOffset>
                      </wp:positionH>
                      <wp:positionV relativeFrom="paragraph">
                        <wp:posOffset>561975</wp:posOffset>
                      </wp:positionV>
                      <wp:extent cx="717550" cy="264160"/>
                      <wp:effectExtent l="0" t="0" r="6350" b="2540"/>
                      <wp:wrapNone/>
                      <wp:docPr id="35" name="文本框 35"/>
                      <wp:cNvGraphicFramePr/>
                      <a:graphic xmlns:a="http://schemas.openxmlformats.org/drawingml/2006/main">
                        <a:graphicData uri="http://schemas.microsoft.com/office/word/2010/wordprocessingShape">
                          <wps:wsp>
                            <wps:cNvSpPr txBox="true"/>
                            <wps:spPr>
                              <a:xfrm>
                                <a:off x="9149080" y="6713855"/>
                                <a:ext cx="717550" cy="264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85pt;margin-top:44.25pt;height:20.8pt;width:56.5pt;z-index:251788288;mso-width-relative:page;mso-height-relative:page;" fillcolor="#FFFFFF [3201]" filled="t" stroked="f" coordsize="21600,21600" o:gfxdata="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AnpUPc&#10;1AAAAAkBAAAPAAAAAAAAAAEAIAAAADgAAABkcnMvZG93bnJldi54bWxQSwECFAAUAAAACACHTuJA&#10;5jarfkgCAABgBAAADgAAAAAAAAABACAAAAA5AQAAZHJzL2Uyb0RvYy54bWxQSwUGAAAAAAYABgBZ&#10;AQAA8wU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380000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-576580</wp:posOffset>
                      </wp:positionH>
                      <wp:positionV relativeFrom="paragraph">
                        <wp:posOffset>65405</wp:posOffset>
                      </wp:positionV>
                      <wp:extent cx="820420" cy="476250"/>
                      <wp:effectExtent l="0" t="0" r="0" b="17780"/>
                      <wp:wrapNone/>
                      <wp:docPr id="52" name="文本框 52"/>
                      <wp:cNvGraphicFramePr/>
                      <a:graphic xmlns:a="http://schemas.openxmlformats.org/drawingml/2006/main">
                        <a:graphicData uri="http://schemas.microsoft.com/office/word/2010/wordprocessingShape">
                          <wps:wsp>
                            <wps:cNvSpPr txBox="true"/>
                            <wps:spPr>
                              <a:xfrm rot="5400000">
                                <a:off x="158750" y="562610"/>
                                <a:ext cx="82042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108</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5.4pt;margin-top:5.15pt;height:37.5pt;width:64.6pt;rotation:5898240f;z-index:-251538432;mso-width-relative:page;mso-height-relative:page;" fillcolor="#FFFFFF [3201]" filled="t" stroked="f" coordsize="21600,21600" o:gfxdata="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Ztz6AtkAAAAIAQAADwAAAAAAAAABACAAAAA4AAAAZHJzL2Rvd25yZXYueG1sUEsBAhQAFAAA&#10;AAgAh07iQLk7grZKAgAAbAQAAA4AAAAAAAAAAQAgAAAAPgEAAGRycy9lMm9Eb2MueG1sUEsFBgAA&#10;AAAGAAYAWQEAAPoFA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108</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60</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林湖公园康养一体化建设项目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主要建设以监护和生活护理为主，为老人提供生活、休息、保健、娱乐、医疗为一体的服务中心</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，规划用地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100亩。</w:t>
            </w:r>
          </w:p>
        </w:tc>
        <w:tc>
          <w:tcPr>
            <w:tcW w:w="1358" w:type="dxa"/>
            <w:shd w:val="clear" w:color="auto" w:fill="FFFFFF"/>
            <w:noWrap/>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碗窑梨花谷休闲旅游项目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主要建设景区旅游综合开发项目、农家乐和休闲度假区项目、规模化生态种养殖项目等</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180亩。</w:t>
            </w:r>
          </w:p>
        </w:tc>
        <w:tc>
          <w:tcPr>
            <w:tcW w:w="1358" w:type="dxa"/>
            <w:shd w:val="clear" w:color="auto" w:fill="FFFFFF"/>
            <w:noWrap/>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2022-2027</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62</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钦北区乡村生态康养旅游示范带总体规划</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打造美丽村屯建设、产业、旅游等一系列基础设施及相关配套</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，规划用地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600亩。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63</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板城镇古道岭旅游产业项目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建设板城镇古道岭旅游产业项目，登山步道20公里</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64</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钦北区娥眉湾生态园</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生态宾馆、壮家风情吊脚楼、农家饭庄、休闲凉亭、游泳池、休闲垂钓池、观赏荷花鱼池、厨房及配套设施、生态停车场、家庭体验区、旅游厕所、儿童游乐场、生态烧烤区、八骏广场、月亮山、酒吧四合院、裸心湖平台、童趣体验区、落日露营平台、风雨桥廊道、铜鼓广场、观光瞭望台、坭兴陶体验馆、水产观光养殖区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65</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八寨沟景区旅游基础设施</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改建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改造公路、停车场、护坡、旅游厕所；增加建设休憩凉亭、观景平台、电力设施及监控设施</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监控摄像头等</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。规划用地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4500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66</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三娘湾白海豚国际大旅游康养度假区项目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主要建设以三娘湾白海豚为依托的七大产业体系：旅游度假产业体系、抗衰康养产业体系、医疗保障体系、主题小镇体系、教育研学体系、农渔体验体系、智慧康养社区体系。</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计划用地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850亩。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2022-2030</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2500000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67</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北部湾盐城海洋疗养旅游度假休闲中心</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依托犀牛脚盐场用地、盐田及临海连江的自然环境基础，整合周边海岛区域，打造</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以</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盐+</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为主题的海洋康养、疗养国际综合旅游度假区及周边配套设施建设。</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2023-2025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89312" behindDoc="0" locked="0" layoutInCell="1" allowOverlap="1">
                      <wp:simplePos x="0" y="0"/>
                      <wp:positionH relativeFrom="column">
                        <wp:posOffset>-12700</wp:posOffset>
                      </wp:positionH>
                      <wp:positionV relativeFrom="paragraph">
                        <wp:posOffset>791210</wp:posOffset>
                      </wp:positionV>
                      <wp:extent cx="768985" cy="300355"/>
                      <wp:effectExtent l="0" t="0" r="12065" b="4445"/>
                      <wp:wrapNone/>
                      <wp:docPr id="36" name="文本框 36"/>
                      <wp:cNvGraphicFramePr/>
                      <a:graphic xmlns:a="http://schemas.openxmlformats.org/drawingml/2006/main">
                        <a:graphicData uri="http://schemas.microsoft.com/office/word/2010/wordprocessingShape">
                          <wps:wsp>
                            <wps:cNvSpPr txBox="true"/>
                            <wps:spPr>
                              <a:xfrm>
                                <a:off x="906145" y="6690360"/>
                                <a:ext cx="768985" cy="300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pt;margin-top:62.3pt;height:23.65pt;width:60.55pt;z-index:251789312;mso-width-relative:page;mso-height-relative:page;" fillcolor="#FFFFFF [3201]" filled="t" stroked="f" coordsize="21600,21600" o:gfxdata="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AefoO0&#10;1gAAAAoBAAAPAAAAAAAAAAEAIAAAADgAAABkcnMvZG93bnJldi54bWxQSwECFAAUAAAACACHTuJA&#10;yYhgeEYCAABfBAAADgAAAAAAAAABACAAAAA7AQAAZHJzL2Uyb0RvYy54bWxQSwUGAAAAAAYABgBZ&#10;AQAA8wU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68</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乌雷炮台及乌雷岛文化旅游项目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利用修复后的乌雷炮台，丰富和完善解说标识系统，打造乌雷岛文化旅游特色旅游景点</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2023-2025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69</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西坑古运河考古遗址公园</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全面发掘清理西坑古运河，并进行周边环境整治和历史文化研究，打造集研学、游览、休闲于一体的考古遗址公园</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，计划用地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150亩。</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2023-2025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70</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三娘湾旅游景区旅游基础设施</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新建景区大门、停车场、游客集散中心7600平方米，公厕改造4座，新建旅游厕所5座，修建景区休闲步道、乌雷岭观海亭3座，景区绿化亮化工程，标识系统，以及智慧化设施等。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5869</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犀丽湾景区提升</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按照AAAA级景区标准，建设</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生态停车场、游船码头、网红拍照点、</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旅拍打卡、</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犀牛脚镇民宿集群、海鲜美食街等。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72</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北部湾白海豚康养岛项目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建设</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规模约</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，计划引进建设国内海洋主题公园、五星级酒店、康养中</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心</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、旅游综合体、社区配套学校、</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文</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化博物馆、旅游</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风情</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商业街、渔村改造、渔港</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小</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镇、游轮码头、</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人工</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湖、园区道路、公园景观等，以</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滨海休闲、</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文</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化体验、康养运动</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为设计主题，打造集</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医、康、养、娱、游、居</w:t>
            </w:r>
            <w:r>
              <w:rPr>
                <w:rFonts w:hint="eastAsia"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为⼀体的中国钦州三娘湾</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白</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海豚</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文</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旅</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小</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镇。</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2200000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73</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三娘湾岩湖康养基地项目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项目规划建设用地面积约800亩，主要建设岩湖清心酒店、康养管理中心、温泉水疗中心、岩湖养生苑、湿地花园、采石坑修复和主题打造等。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74</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白海豚度假酒店</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总建筑面积25200平方米，建设度假酒店、海景特色酒店、游泳池、停车场以及其它配套设施。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2019-2022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11200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75</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钦州市三娘湾景区三娘湾渔村片区（第一期）乡村振兴开发项目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主要建设</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2000亩</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旅游景区配套酒店及相关配套设施。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67435</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-607060</wp:posOffset>
                      </wp:positionH>
                      <wp:positionV relativeFrom="paragraph">
                        <wp:posOffset>287655</wp:posOffset>
                      </wp:positionV>
                      <wp:extent cx="871220" cy="469265"/>
                      <wp:effectExtent l="0" t="0" r="6985" b="5080"/>
                      <wp:wrapNone/>
                      <wp:docPr id="53" name="文本框 53"/>
                      <wp:cNvGraphicFramePr/>
                      <a:graphic xmlns:a="http://schemas.openxmlformats.org/drawingml/2006/main">
                        <a:graphicData uri="http://schemas.microsoft.com/office/word/2010/wordprocessingShape">
                          <wps:wsp>
                            <wps:cNvSpPr txBox="true"/>
                            <wps:spPr>
                              <a:xfrm rot="5400000">
                                <a:off x="254000" y="424180"/>
                                <a:ext cx="871220" cy="469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109</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7.8pt;margin-top:22.65pt;height:36.95pt;width:68.6pt;rotation:5898240f;z-index:-251538432;mso-width-relative:page;mso-height-relative:page;" fillcolor="#FFFFFF [3201]" filled="t" stroked="f" coordsize="21600,21600" o:gfxdata="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Co9StW2gAAAAkBAAAPAAAAAAAAAAEAIAAAADgAAABkcnMvZG93bnJldi54bWxQSwECFAAUAAAA&#10;CACHTuJARHyrFUgCAABsBAAADgAAAAAAAAABACAAAAA/AQAAZHJzL2Uyb0RvYy54bWxQSwUGAAAA&#10;AAYABgBZAQAA+QU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109</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76</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月亮湾沙滩综合整治项目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包括沙滩整治、游客中心建设、网红打卡点建设等内容。</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2020-2022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sz w:val="24"/>
              </w:rPr>
              <mc:AlternateContent>
                <mc:Choice Requires="wps">
                  <w:drawing>
                    <wp:anchor distT="0" distB="0" distL="114300" distR="114300" simplePos="0" relativeHeight="251796480" behindDoc="0" locked="0" layoutInCell="1" allowOverlap="1">
                      <wp:simplePos x="0" y="0"/>
                      <wp:positionH relativeFrom="column">
                        <wp:posOffset>296545</wp:posOffset>
                      </wp:positionH>
                      <wp:positionV relativeFrom="paragraph">
                        <wp:posOffset>610235</wp:posOffset>
                      </wp:positionV>
                      <wp:extent cx="923290" cy="388620"/>
                      <wp:effectExtent l="0" t="0" r="10160" b="11430"/>
                      <wp:wrapNone/>
                      <wp:docPr id="57" name="文本框 57"/>
                      <wp:cNvGraphicFramePr/>
                      <a:graphic xmlns:a="http://schemas.openxmlformats.org/drawingml/2006/main">
                        <a:graphicData uri="http://schemas.microsoft.com/office/word/2010/wordprocessingShape">
                          <wps:wsp>
                            <wps:cNvSpPr txBox="true"/>
                            <wps:spPr>
                              <a:xfrm>
                                <a:off x="9046210" y="6670040"/>
                                <a:ext cx="923290" cy="388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3.35pt;margin-top:48.05pt;height:30.6pt;width:72.7pt;z-index:251796480;mso-width-relative:page;mso-height-relative:page;" fillcolor="#FFFFFF [3201]" filled="t" stroked="f" coordsize="21600,21600" o:gfxdata="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Z//Pg&#10;1AAAAAkBAAAPAAAAAAAAAAEAIAAAADgAAABkcnMvZG93bnJldi54bWxQSwECFAAUAAAACACHTuJA&#10;yGOd60gCAABgBAAADgAAAAAAAAABACAAAAA5AQAAZHJzL2Uyb0RvYy54bWxQSwUGAAAAAAYABgBZ&#10;AQAA8wUAAAAA&#10;">
                      <v:fill on="t" focussize="0,0"/>
                      <v:stroke on="f" weight="0.5p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790336" behindDoc="0" locked="0" layoutInCell="1" allowOverlap="1">
                      <wp:simplePos x="0" y="0"/>
                      <wp:positionH relativeFrom="column">
                        <wp:posOffset>347345</wp:posOffset>
                      </wp:positionH>
                      <wp:positionV relativeFrom="paragraph">
                        <wp:posOffset>821690</wp:posOffset>
                      </wp:positionV>
                      <wp:extent cx="820420" cy="264160"/>
                      <wp:effectExtent l="0" t="0" r="17780" b="2540"/>
                      <wp:wrapNone/>
                      <wp:docPr id="37" name="文本框 37"/>
                      <wp:cNvGraphicFramePr/>
                      <a:graphic xmlns:a="http://schemas.openxmlformats.org/drawingml/2006/main">
                        <a:graphicData uri="http://schemas.microsoft.com/office/word/2010/wordprocessingShape">
                          <wps:wsp>
                            <wps:cNvSpPr txBox="true"/>
                            <wps:spPr>
                              <a:xfrm>
                                <a:off x="9126855" y="6715760"/>
                                <a:ext cx="820420" cy="264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35pt;margin-top:64.7pt;height:20.8pt;width:64.6pt;z-index:251790336;mso-width-relative:page;mso-height-relative:page;" fillcolor="#FFFFFF [3201]" filled="t" stroked="f" coordsize="21600,21600" o:gfxdata="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DMCwrj&#10;1QAAAAoBAAAPAAAAAAAAAAEAIAAAADgAAABkcnMvZG93bnJldi54bWxQSwECFAAUAAAACACHTuJA&#10;i+IAlUcCAABgBAAADgAAAAAAAAABACAAAAA6AQAAZHJzL2Uyb0RvYy54bWxQSwUGAAAAAAYABgBZ&#10;AQAA8wU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0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-577215</wp:posOffset>
                      </wp:positionH>
                      <wp:positionV relativeFrom="paragraph">
                        <wp:posOffset>94615</wp:posOffset>
                      </wp:positionV>
                      <wp:extent cx="819785" cy="431165"/>
                      <wp:effectExtent l="0" t="0" r="6985" b="18415"/>
                      <wp:wrapNone/>
                      <wp:docPr id="54" name="文本框 54"/>
                      <wp:cNvGraphicFramePr/>
                      <a:graphic xmlns:a="http://schemas.openxmlformats.org/drawingml/2006/main">
                        <a:graphicData uri="http://schemas.microsoft.com/office/word/2010/wordprocessingShape">
                          <wps:wsp>
                            <wps:cNvSpPr txBox="true"/>
                            <wps:spPr>
                              <a:xfrm rot="5400000">
                                <a:off x="210185" y="412750"/>
                                <a:ext cx="819785" cy="431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110</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5.45pt;margin-top:7.45pt;height:33.95pt;width:64.55pt;rotation:5898240f;z-index:-251538432;mso-width-relative:page;mso-height-relative:page;" fillcolor="#FFFFFF [3201]" filled="t" stroked="f" coordsize="21600,21600" o:gfxdata="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pppbBNkAAAAIAQAADwAAAAAAAAABACAAAAA4AAAAZHJzL2Rvd25yZXYueG1sUEsBAhQAFAAA&#10;AAgAh07iQCovH7pKAgAAbAQAAA4AAAAAAAAAAQAgAAAAPgEAAGRycy9lMm9Eb2MueG1sUEsFBgAA&#10;AAAGAAYAWQEAAPoFA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110</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77</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三娘湾旅游观光港点项目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建设3个港点，项目包括乌雷港点、大庙墩港点、三娘湾港点。</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10500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78</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w w:val="90"/>
                <w:sz w:val="24"/>
                <w:szCs w:val="24"/>
                <w:lang w:val="en-US" w:eastAsia="zh-CN"/>
                <w14:textFill>
                  <w14:solidFill>
                    <w14:schemeClr w14:val="tx1"/>
                  </w14:solidFill>
                </w14:textFill>
              </w:rPr>
              <w:t>钦州市三娘湾海洋牧场后勤保障基地（避风港）建设项目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旅游配套设施建设。新建2座防波堤，总长度1200米。</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79</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三娘湾旅游基础设施项目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景区智慧旅游项目3500万元，占地2000亩，景区绿化项目1200万元、景区道路白改黑1500万元，游客服务中心改扩建2800万元，多功能表演厅800万元，清心园提升工程2500万元、观海长廊建设2800万元、污水处理项目2800万元，供水项目1000万元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18900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80</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11"/>
                <w:sz w:val="24"/>
                <w:szCs w:val="24"/>
                <w:lang w:val="en-US" w:eastAsia="zh-CN"/>
                <w14:textFill>
                  <w14:solidFill>
                    <w14:schemeClr w14:val="tx1"/>
                  </w14:solidFill>
                </w14:textFill>
              </w:rPr>
              <w:t>三娘湾景区规划道路建设项目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建设三娘湾景观大道，长9.1公里，路基宽度32米。</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广西钦州湾水上运动暨主题海湾文旅项目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项目总投资10870万元，占地面积585亩，分两个子项目实施。一是广西钦州湾水上运动海湾文旅项目，投资5500万元，占地面积300亩，主要建设游艇码头及配套设施（包括游艇俱乐部、维修船坞、游艇干仓存放、干仓维修、游艇培训学院、游艇加油站等）；二是广西钦州湾主题海湾文旅项目，投资5370万元，占地面积285亩，主要建设滨海沙滩、水上乐园及配套服务设施、透水性构筑物，近沙滩区域设置海上单车、海上划船、海上秋千、海上氢气球，远海区域设置海上滑伞、海上摩托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10870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82</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广西钦州市佛教文化产业园（云海寺）</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建设寺庙大雄宝殿、观音殿、天王殿及相关设施。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2020-2025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50000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83</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三娘湾白海豚公园项目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项目用地面积114.1189亩，规划建设海豚表演馆、白海豚主题商业街、酒店等。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45000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0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91360" behindDoc="0" locked="0" layoutInCell="1" allowOverlap="1">
                      <wp:simplePos x="0" y="0"/>
                      <wp:positionH relativeFrom="column">
                        <wp:posOffset>-34290</wp:posOffset>
                      </wp:positionH>
                      <wp:positionV relativeFrom="paragraph">
                        <wp:posOffset>716915</wp:posOffset>
                      </wp:positionV>
                      <wp:extent cx="835660" cy="417830"/>
                      <wp:effectExtent l="0" t="0" r="2540" b="1270"/>
                      <wp:wrapNone/>
                      <wp:docPr id="38" name="文本框 38"/>
                      <wp:cNvGraphicFramePr/>
                      <a:graphic xmlns:a="http://schemas.openxmlformats.org/drawingml/2006/main">
                        <a:graphicData uri="http://schemas.microsoft.com/office/word/2010/wordprocessingShape">
                          <wps:wsp>
                            <wps:cNvSpPr txBox="true"/>
                            <wps:spPr>
                              <a:xfrm>
                                <a:off x="854710" y="6670040"/>
                                <a:ext cx="835660" cy="417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pt;margin-top:56.45pt;height:32.9pt;width:65.8pt;z-index:251791360;mso-width-relative:page;mso-height-relative:page;" fillcolor="#FFFFFF [3201]" filled="t" stroked="f" coordsize="21600,21600" o:gfxdata="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v+0Rg9UA&#10;AAAKAQAADwAAAAAAAAABACAAAAA4AAAAZHJzL2Rvd25yZXYueG1sUEsBAhQAFAAAAAgAh07iQDZV&#10;xGxFAgAAXwQAAA4AAAAAAAAAAQAgAAAAOgEAAGRycy9lMm9Eb2MueG1sUEsFBgAAAAAGAAYAWQEA&#10;APEFA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84</w:t>
            </w:r>
          </w:p>
        </w:tc>
        <w:tc>
          <w:tcPr>
            <w:tcW w:w="1787" w:type="dxa"/>
            <w:gridSpan w:val="2"/>
            <w:shd w:val="clear" w:color="auto" w:fill="FFFFFF"/>
            <w:vAlign w:val="center"/>
          </w:tcPr>
          <w:p>
            <w:pPr>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三娘湾海洋生物繁育研究基地项目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项目使用海域面积150亩，规划建设海洋生物水族馆、欢乐海底世界、海洋生物繁育研究基地等。（已签投资合同）</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15000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85</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pacing w:val="-6"/>
                <w:sz w:val="24"/>
                <w:szCs w:val="24"/>
                <w14:textFill>
                  <w14:solidFill>
                    <w14:schemeClr w14:val="tx1"/>
                  </w14:solidFill>
                </w14:textFill>
              </w:rPr>
              <w:t>中盼</w:t>
            </w:r>
            <w:r>
              <w:rPr>
                <w:rFonts w:hint="default" w:ascii="Times New Roman" w:hAnsi="Times New Roman" w:eastAsia="方正仿宋_GBK" w:cs="Times New Roman"/>
                <w:color w:val="000000" w:themeColor="text1"/>
                <w:spacing w:val="0"/>
                <w:sz w:val="24"/>
                <w:szCs w:val="24"/>
                <w14:textFill>
                  <w14:solidFill>
                    <w14:schemeClr w14:val="tx1"/>
                  </w14:solidFill>
                </w14:textFill>
              </w:rPr>
              <w:t>•</w:t>
            </w:r>
            <w:r>
              <w:rPr>
                <w:rFonts w:hint="default" w:ascii="Times New Roman" w:hAnsi="Times New Roman" w:eastAsia="方正仿宋_GBK" w:cs="Times New Roman"/>
                <w:color w:val="000000" w:themeColor="text1"/>
                <w:spacing w:val="-6"/>
                <w:sz w:val="24"/>
                <w:szCs w:val="24"/>
                <w14:textFill>
                  <w14:solidFill>
                    <w14:schemeClr w14:val="tx1"/>
                  </w14:solidFill>
                </w14:textFill>
              </w:rPr>
              <w:t>龙门梦幻之岛</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续建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总建筑面400</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0000</w:t>
            </w:r>
            <w:r>
              <w:rPr>
                <w:rFonts w:hint="default" w:ascii="Times New Roman" w:hAnsi="Times New Roman" w:eastAsia="方正仿宋_GBK" w:cs="Times New Roman"/>
                <w:color w:val="000000" w:themeColor="text1"/>
                <w:sz w:val="24"/>
                <w:szCs w:val="24"/>
                <w14:textFill>
                  <w14:solidFill>
                    <w14:schemeClr w14:val="tx1"/>
                  </w14:solidFill>
                </w14:textFill>
              </w:rPr>
              <w:t>平方米，主要建设休闲渔岛、白鹭湖公园、民俗旅游村、望海楼组团、运动森林公园、渔人海岸、茅江湾组团以及配套停车场、服务区等。（已签框架协议）</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2022-2028</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2200000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86</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贝恩国际海港邮轮码头文旅康养综合开发项目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占地1600亩，主要建设建设规划邮轮码头、客运枢纽、文化博览中心、艺术交流中心、 海产品展示中心，国际海产品交易中心、</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度假酒店</w:t>
            </w:r>
            <w:r>
              <w:rPr>
                <w:rFonts w:hint="default" w:ascii="Times New Roman" w:hAnsi="Times New Roman" w:eastAsia="方正仿宋_GBK" w:cs="Times New Roman"/>
                <w:color w:val="000000" w:themeColor="text1"/>
                <w:sz w:val="24"/>
                <w:szCs w:val="24"/>
                <w14:textFill>
                  <w14:solidFill>
                    <w14:schemeClr w14:val="tx1"/>
                  </w14:solidFill>
                </w14:textFill>
              </w:rPr>
              <w:t>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2022-2030</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1</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仿宋_GBK" w:cs="Times New Roman"/>
                <w:color w:val="000000" w:themeColor="text1"/>
                <w:sz w:val="24"/>
                <w:szCs w:val="24"/>
                <w14:textFill>
                  <w14:solidFill>
                    <w14:schemeClr w14:val="tx1"/>
                  </w14:solidFill>
                </w14:textFill>
              </w:rPr>
              <w:t>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87</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犀丽湾二期项目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建设</w:t>
            </w:r>
            <w:r>
              <w:rPr>
                <w:rFonts w:hint="default" w:ascii="Times New Roman" w:hAnsi="Times New Roman" w:eastAsia="方正仿宋_GBK" w:cs="Times New Roman"/>
                <w:color w:val="000000" w:themeColor="text1"/>
                <w:sz w:val="24"/>
                <w:szCs w:val="24"/>
                <w14:textFill>
                  <w14:solidFill>
                    <w14:schemeClr w14:val="tx1"/>
                  </w14:solidFill>
                </w14:textFill>
              </w:rPr>
              <w:t>旅游厕所</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多功能舞台</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四星级房车营地</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、文旅驿站、水上飞机码头等文旅配套设施。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88</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三娘湾湿地公园项目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规划用地600亩，建设休闲步道、自行车道10公里，生态厕所、服务木屋、亲水平台、亭廊、绿化植物、水生植物等。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15000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89</w:t>
            </w:r>
          </w:p>
        </w:tc>
        <w:tc>
          <w:tcPr>
            <w:tcW w:w="1787" w:type="dxa"/>
            <w:gridSpan w:val="2"/>
            <w:shd w:val="clear" w:color="auto" w:fill="FFFFFF"/>
            <w:vAlign w:val="center"/>
          </w:tcPr>
          <w:p>
            <w:pPr>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乌雷岭森林公园项目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项目占地2200亩，建设森林公园大门、停车场、监控系统，管理用房、上山道路、步道、星级旅游厕所、服务木屋、亭廊、绿化等。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2022-2024</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90</w:t>
            </w:r>
          </w:p>
        </w:tc>
        <w:tc>
          <w:tcPr>
            <w:tcW w:w="1787" w:type="dxa"/>
            <w:gridSpan w:val="2"/>
            <w:shd w:val="clear" w:color="auto" w:fill="FFFFFF"/>
            <w:vAlign w:val="center"/>
          </w:tcPr>
          <w:p>
            <w:pPr>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钦州市（鹿耳环—麻蓝岛）水上运动休闲项目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项目建设内容主要包括：游客服务中心</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海滩清淤</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红树林保育工程</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建海上运动赛道</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购置摩托艇、游艇、帆船、水上老爷车、烧烤船、水上观光巴士等水上运动设备及设施；配套建设应急救援、游艇及海上运动设备停泊基地及维修基地；建设水上酒吧、水上特色餐饮、小房船、水上餐厅等水上休闲娱乐项目；休闲游船码头建设，修复海岸线</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建设滨海塑胶运动步道</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建设绿化景观及休闲度假酒店。</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60000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trPr>
        <w:tc>
          <w:tcPr>
            <w:tcW w:w="703"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-681990</wp:posOffset>
                      </wp:positionH>
                      <wp:positionV relativeFrom="paragraph">
                        <wp:posOffset>683260</wp:posOffset>
                      </wp:positionV>
                      <wp:extent cx="981710" cy="461010"/>
                      <wp:effectExtent l="0" t="0" r="15240" b="8890"/>
                      <wp:wrapNone/>
                      <wp:docPr id="56" name="文本框 56"/>
                      <wp:cNvGraphicFramePr/>
                      <a:graphic xmlns:a="http://schemas.openxmlformats.org/drawingml/2006/main">
                        <a:graphicData uri="http://schemas.microsoft.com/office/word/2010/wordprocessingShape">
                          <wps:wsp>
                            <wps:cNvSpPr txBox="true"/>
                            <wps:spPr>
                              <a:xfrm rot="5400000">
                                <a:off x="1536065" y="7093585"/>
                                <a:ext cx="981710" cy="4610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111</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3.7pt;margin-top:53.8pt;height:36.3pt;width:77.3pt;rotation:5898240f;z-index:-251538432;mso-width-relative:page;mso-height-relative:page;" fillcolor="#FFFFFF [3201]" filled="t" stroked="f" coordsize="21600,21600" o:gfxdata="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d8WgtoAAAALAQAADwAAAAAAAAABACAAAAA4AAAAZHJzL2Rvd25yZXYueG1sUEsB&#10;AhQAFAAAAAgAh07iQNXH7DVPAgAAbgQAAA4AAAAAAAAAAQAgAAAAPwEAAGRycy9lMm9Eb2MueG1s&#10;UEsFBgAAAAAGAAYAWQEAAAAGA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111</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91</w:t>
            </w:r>
          </w:p>
        </w:tc>
        <w:tc>
          <w:tcPr>
            <w:tcW w:w="1787"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智慧军旅•康养文旅城</w:t>
            </w:r>
            <w:r>
              <w:rPr>
                <w:rFonts w:hint="default" w:ascii="Times New Roman" w:hAnsi="Times New Roman" w:eastAsia="方正仿宋_GBK" w:cs="Times New Roman"/>
                <w:color w:val="000000" w:themeColor="text1"/>
                <w:sz w:val="24"/>
                <w:szCs w:val="24"/>
                <w:lang w:val="en"/>
                <w14:textFill>
                  <w14:solidFill>
                    <w14:schemeClr w14:val="tx1"/>
                  </w14:solidFill>
                </w14:textFill>
              </w:rPr>
              <w:t>A</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开通低空航线，连接海陆空交通网</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海湾冰乐城</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水上大世界</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每年可接待游客</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10000000</w:t>
            </w:r>
            <w:r>
              <w:rPr>
                <w:rFonts w:hint="default" w:ascii="Times New Roman" w:hAnsi="Times New Roman" w:eastAsia="方正仿宋_GBK" w:cs="Times New Roman"/>
                <w:color w:val="000000" w:themeColor="text1"/>
                <w:sz w:val="24"/>
                <w:szCs w:val="24"/>
                <w14:textFill>
                  <w14:solidFill>
                    <w14:schemeClr w14:val="tx1"/>
                  </w14:solidFill>
                </w14:textFill>
              </w:rPr>
              <w:t>人/次</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建设以医美三级专科为龙头、学术带头人专科为特色、中医药养生为依托的三级甲等医院</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旅游度假康养酒店三个，以精品、高端、星级等类型接待有不同需求的旅游、休闲度假、养生度老的人群</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高效农业大棚，可定产定收。军体项目运动场、狩猎场、赛车场、整合特色地块配备夜游经济商圈。</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left="0" w:leftChars="0" w:firstLine="0" w:firstLineChars="0"/>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2022-2028</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sz w:val="24"/>
              </w:rPr>
              <mc:AlternateContent>
                <mc:Choice Requires="wps">
                  <w:drawing>
                    <wp:anchor distT="0" distB="0" distL="114300" distR="114300" simplePos="0" relativeHeight="251792384" behindDoc="0" locked="0" layoutInCell="1" allowOverlap="1">
                      <wp:simplePos x="0" y="0"/>
                      <wp:positionH relativeFrom="column">
                        <wp:posOffset>290195</wp:posOffset>
                      </wp:positionH>
                      <wp:positionV relativeFrom="paragraph">
                        <wp:posOffset>951865</wp:posOffset>
                      </wp:positionV>
                      <wp:extent cx="878840" cy="410210"/>
                      <wp:effectExtent l="0" t="0" r="16510" b="8890"/>
                      <wp:wrapNone/>
                      <wp:docPr id="41" name="文本框 41"/>
                      <wp:cNvGraphicFramePr/>
                      <a:graphic xmlns:a="http://schemas.openxmlformats.org/drawingml/2006/main">
                        <a:graphicData uri="http://schemas.microsoft.com/office/word/2010/wordprocessingShape">
                          <wps:wsp>
                            <wps:cNvSpPr txBox="true"/>
                            <wps:spPr>
                              <a:xfrm>
                                <a:off x="9053830" y="6660515"/>
                                <a:ext cx="878840" cy="4102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2.85pt;margin-top:74.95pt;height:32.3pt;width:69.2pt;z-index:251792384;mso-width-relative:page;mso-height-relative:page;" fillcolor="#FFFFFF [3201]" filled="t" stroked="f" coordsize="21600,21600" o:gfxdata="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Gor&#10;DNzWAAAACgEAAA8AAAAAAAAAAQAgAAAAOAAAAGRycy9kb3ducmV2LnhtbFBLAQIUABQAAAAIAIdO&#10;4kBpIDwOSAIAAGAEAAAOAAAAAAAAAAEAIAAAADsBAABkcnMvZTJvRG9jLnhtbFBLBQYAAAAABgAG&#10;AFkBAAD1BQ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261"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60" w:lineRule="exact"/>
              <w:ind w:firstLine="0" w:firstLineChars="0"/>
              <w:jc w:val="left"/>
              <w:textAlignment w:val="auto"/>
              <w:rPr>
                <w:rFonts w:hint="default" w:ascii="Times New Roman" w:hAnsi="Times New Roman" w:eastAsia="方正仿宋_GBK" w:cs="Times New Roman"/>
                <w:color w:val="000000" w:themeColor="text1"/>
                <w:lang w:eastAsia="zh-CN"/>
                <w14:textFill>
                  <w14:solidFill>
                    <w14:schemeClr w14:val="tx1"/>
                  </w14:solidFill>
                </w14:textFill>
              </w:rPr>
            </w:pPr>
            <w:r>
              <w:rPr>
                <w:sz w:val="28"/>
              </w:rPr>
              <mc:AlternateContent>
                <mc:Choice Requires="wps">
                  <w:drawing>
                    <wp:anchor distT="0" distB="0" distL="114300" distR="114300" simplePos="0" relativeHeight="251778048" behindDoc="1" locked="0" layoutInCell="1" allowOverlap="1">
                      <wp:simplePos x="0" y="0"/>
                      <wp:positionH relativeFrom="column">
                        <wp:posOffset>-613410</wp:posOffset>
                      </wp:positionH>
                      <wp:positionV relativeFrom="paragraph">
                        <wp:posOffset>112395</wp:posOffset>
                      </wp:positionV>
                      <wp:extent cx="878840" cy="432435"/>
                      <wp:effectExtent l="0" t="0" r="5715" b="16510"/>
                      <wp:wrapNone/>
                      <wp:docPr id="58" name="文本框 58"/>
                      <wp:cNvGraphicFramePr/>
                      <a:graphic xmlns:a="http://schemas.openxmlformats.org/drawingml/2006/main">
                        <a:graphicData uri="http://schemas.microsoft.com/office/word/2010/wordprocessingShape">
                          <wps:wsp>
                            <wps:cNvSpPr txBox="true"/>
                            <wps:spPr>
                              <a:xfrm rot="5400000">
                                <a:off x="137160" y="153035"/>
                                <a:ext cx="878840" cy="432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112</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8.3pt;margin-top:8.85pt;height:34.05pt;width:69.2pt;rotation:5898240f;z-index:-251538432;mso-width-relative:page;mso-height-relative:page;" fillcolor="#FFFFFF [3201]" filled="t" stroked="f" coordsize="21600,21600" o:gfxdata="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Cop9wdgAAAAIAQAADwAAAAAAAAABACAAAAA4AAAAZHJzL2Rvd25yZXYueG1sUEsBAhQAFAAA&#10;AAgAh07iQJEgzmZLAgAAbAQAAA4AAAAAAAAAAQAgAAAAPQEAAGRycy9lMm9Eb2MueG1sUEsFBgAA&#10;AAAGAAYAWQEAAPoFA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112</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r>
              <w:rPr>
                <w:rFonts w:hint="default" w:ascii="Times New Roman" w:hAnsi="Times New Roman" w:eastAsia="方正仿宋_GBK" w:cs="Times New Roman"/>
                <w:b/>
                <w:bCs/>
                <w:color w:val="000000" w:themeColor="text1"/>
                <w:lang w:eastAsia="zh-CN"/>
                <w14:textFill>
                  <w14:solidFill>
                    <w14:schemeClr w14:val="tx1"/>
                  </w14:solidFill>
                </w14:textFill>
              </w:rPr>
              <w:t>二、广播电视类发展建设项目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序号</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项目名称</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建设性质</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建设内容及规模</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建设年限</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总投资</w: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（万元）</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计划开工时间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钦州中波台搬迁</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占地约200-300亩，预计投入建设资金6000万元。</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2021-2023</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6000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灵山县中波台整体搬迁</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新的灵山中波台占地约80亩，预计投入建设资金800万元。</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800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灵山县应急广播体系建设项目</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建设镇级播控平台19套、行政村级广播室260套。建成室外接收终端1400套（每套智能音柱1个）。</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1900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4</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浦北县广播电视直播卫星户户通标清设备更新工程</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在现有标清直播卫星接收设备基础上，更换为卫星定位的高清接收设备。</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1200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1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11"/>
                <w:sz w:val="24"/>
                <w:szCs w:val="24"/>
                <w:highlight w:val="none"/>
                <w:lang w:eastAsia="zh-CN"/>
                <w14:textFill>
                  <w14:solidFill>
                    <w14:schemeClr w14:val="tx1"/>
                  </w14:solidFill>
                </w14:textFill>
              </w:rPr>
              <w:t>浦北县应急广播体系建设项目</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建设镇级播控平台16套、行政村级广播室220套。建成室外接收终端1200套（每套智能音柱1个）。</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1600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6</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11"/>
                <w:w w:val="9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11"/>
                <w:sz w:val="24"/>
                <w:szCs w:val="24"/>
                <w:highlight w:val="none"/>
                <w:lang w:eastAsia="zh-CN"/>
                <w14:textFill>
                  <w14:solidFill>
                    <w14:schemeClr w14:val="tx1"/>
                  </w14:solidFill>
                </w14:textFill>
              </w:rPr>
              <w:t>钦南区应急广播体系建设项目</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建设镇级播控平台16套、行政村级广播室220套。建成室外接收终端1200套（每套智能音柱1个）。</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1600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7</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3"/>
                <w:w w:val="9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11"/>
                <w:sz w:val="24"/>
                <w:szCs w:val="24"/>
                <w:highlight w:val="none"/>
                <w:lang w:eastAsia="zh-CN"/>
                <w14:textFill>
                  <w14:solidFill>
                    <w14:schemeClr w14:val="tx1"/>
                  </w14:solidFill>
                </w14:textFill>
              </w:rPr>
              <w:t>钦北区应急广播体系建设项目</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建设镇级播控平台14套、行政村级广播室200套。建成室外接收终端1000套（每套智能音柱1个）。</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1400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8</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3"/>
                <w:w w:val="9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t>钦北区融媒体中心业务用房建设项目</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新建融媒体中心业务用房2500平方米及附属设施。</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1600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0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sz w:val="24"/>
              </w:rPr>
              <mc:AlternateContent>
                <mc:Choice Requires="wps">
                  <w:drawing>
                    <wp:anchor distT="0" distB="0" distL="114300" distR="114300" simplePos="0" relativeHeight="251793408" behindDoc="0" locked="0" layoutInCell="1" allowOverlap="1">
                      <wp:simplePos x="0" y="0"/>
                      <wp:positionH relativeFrom="column">
                        <wp:posOffset>-34290</wp:posOffset>
                      </wp:positionH>
                      <wp:positionV relativeFrom="paragraph">
                        <wp:posOffset>705485</wp:posOffset>
                      </wp:positionV>
                      <wp:extent cx="673735" cy="307975"/>
                      <wp:effectExtent l="0" t="0" r="12065" b="15875"/>
                      <wp:wrapNone/>
                      <wp:docPr id="47" name="文本框 47"/>
                      <wp:cNvGraphicFramePr/>
                      <a:graphic xmlns:a="http://schemas.openxmlformats.org/drawingml/2006/main">
                        <a:graphicData uri="http://schemas.microsoft.com/office/word/2010/wordprocessingShape">
                          <wps:wsp>
                            <wps:cNvSpPr txBox="true"/>
                            <wps:spPr>
                              <a:xfrm>
                                <a:off x="891540" y="6678295"/>
                                <a:ext cx="673735" cy="3079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pt;margin-top:55.55pt;height:24.25pt;width:53.05pt;z-index:251793408;mso-width-relative:page;mso-height-relative:page;" fillcolor="#FFFFFF [3201]" filled="t" stroked="f" coordsize="21600,21600" o:gfxdata="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CXl3KrU&#10;AAAACgEAAA8AAAAAAAAAAQAgAAAAOAAAAGRycy9kb3ducmV2LnhtbFBLAQIUABQAAAAIAIdO4kDD&#10;cg3GRwIAAF8EAAAOAAAAAAAAAAEAIAAAADkBAABkcnMvZTJvRG9jLnhtbFBLBQYAAAAABgAGAFkB&#10;AADyBQ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lang w:val="en-US"/>
                <w14:textFill>
                  <w14:solidFill>
                    <w14:schemeClr w14:val="tx1"/>
                  </w14:solidFill>
                </w14:textFill>
              </w:rPr>
              <w:t>9</w:t>
            </w:r>
          </w:p>
        </w:tc>
        <w:tc>
          <w:tcPr>
            <w:tcW w:w="178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方正仿宋_GBK" w:cs="Times New Roman"/>
                <w:color w:val="000000" w:themeColor="text1"/>
                <w:spacing w:val="-2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20"/>
                <w:sz w:val="24"/>
                <w:szCs w:val="24"/>
                <w:highlight w:val="none"/>
                <w:lang w:eastAsia="zh-CN"/>
                <w14:textFill>
                  <w14:solidFill>
                    <w14:schemeClr w14:val="tx1"/>
                  </w14:solidFill>
                </w14:textFill>
              </w:rPr>
              <w:t>广西传媒职业技术学院项目</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新建</w:t>
            </w:r>
          </w:p>
        </w:tc>
        <w:tc>
          <w:tcPr>
            <w:tcW w:w="764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规划</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新</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建校区</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一期用地选址在中马钦州产业园区友谊大道西面、滨江大道东面、马淑路北面、马毅街南面，用地面积约486亩。</w:t>
            </w:r>
          </w:p>
        </w:tc>
        <w:tc>
          <w:tcPr>
            <w:tcW w:w="1358"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120000</w:t>
            </w:r>
          </w:p>
        </w:tc>
        <w:tc>
          <w:tcPr>
            <w:tcW w:w="856"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4261" w:type="dxa"/>
            <w:gridSpan w:val="8"/>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sz w:val="24"/>
              </w:rPr>
              <mc:AlternateContent>
                <mc:Choice Requires="wps">
                  <w:drawing>
                    <wp:anchor distT="0" distB="0" distL="114300" distR="114300" simplePos="0" relativeHeight="251777024" behindDoc="0" locked="0" layoutInCell="1" allowOverlap="1">
                      <wp:simplePos x="0" y="0"/>
                      <wp:positionH relativeFrom="column">
                        <wp:posOffset>-159385</wp:posOffset>
                      </wp:positionH>
                      <wp:positionV relativeFrom="paragraph">
                        <wp:posOffset>-541020</wp:posOffset>
                      </wp:positionV>
                      <wp:extent cx="1828800" cy="1828800"/>
                      <wp:effectExtent l="4445" t="4445" r="14605" b="14605"/>
                      <wp:wrapSquare wrapText="bothSides"/>
                      <wp:docPr id="42" name="文本框 42"/>
                      <wp:cNvGraphicFramePr/>
                      <a:graphic xmlns:a="http://schemas.openxmlformats.org/drawingml/2006/main">
                        <a:graphicData uri="http://schemas.microsoft.com/office/word/2010/wordprocessingShape">
                          <wps:wsp>
                            <wps:cNvSpPr txBox="true"/>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b/>
                                      <w:bCs/>
                                      <w:color w:val="000000" w:themeColor="text1"/>
                                      <w:sz w:val="28"/>
                                      <w:szCs w:val="28"/>
                                      <w:highlight w:val="none"/>
                                      <w14:textFill>
                                        <w14:solidFill>
                                          <w14:schemeClr w14:val="tx1"/>
                                        </w14:solidFill>
                                      </w14:textFill>
                                    </w:rPr>
                                  </w:pPr>
                                  <w:r>
                                    <w:rPr>
                                      <w:rFonts w:hint="default" w:ascii="Times New Roman" w:hAnsi="Times New Roman" w:eastAsia="方正仿宋_GBK" w:cs="Times New Roman"/>
                                      <w:b/>
                                      <w:bCs/>
                                      <w:color w:val="000000" w:themeColor="text1"/>
                                      <w:sz w:val="28"/>
                                      <w:szCs w:val="28"/>
                                      <w:highlight w:val="none"/>
                                      <w14:textFill>
                                        <w14:solidFill>
                                          <w14:schemeClr w14:val="tx1"/>
                                        </w14:solidFill>
                                      </w14:textFill>
                                    </w:rPr>
                                    <w:t>三、体育类发展建设项目</w:t>
                                  </w:r>
                                </w:p>
                              </w:txbxContent>
                            </wps:txbx>
                            <wps:bodyPr rot="0" spcFirstLastPara="0" vertOverflow="overflow" horzOverflow="overflow" vert="horz" wrap="none" lIns="91440" tIns="45720" rIns="91440" bIns="4572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12.55pt;margin-top:-42.6pt;height:144pt;width:144pt;mso-wrap-distance-bottom:0pt;mso-wrap-distance-left:9pt;mso-wrap-distance-right:9pt;mso-wrap-distance-top:0pt;mso-wrap-style:none;z-index:251777024;mso-width-relative:page;mso-height-relative:page;" fillcolor="#FFFFFF [3201]" filled="t" stroked="f" coordsize="21600,21600" o:gfxdata="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ZvrmuNoAAAALAQAADwAAAAAA&#10;AAABACAAAAA4AAAAZHJzL2Rvd25yZXYueG1sUEsBAhQAFAAAAAgAh07iQC4/wT80AgAAVAQAAA4A&#10;AAAAAAAAAQAgAAAAPwEAAGRycy9lMm9Eb2MueG1sUEsFBgAAAAAGAAYAWQEAAOUFAAAAAA==&#10;">
                      <v:fill on="t" focussize="0,0"/>
                      <v:stroke on="f" weight="0.5pt"/>
                      <v:imagedata o:title=""/>
                      <o:lock v:ext="edit" aspectratio="f"/>
                      <v:textbox style="mso-fit-shape-to-text:t;">
                        <w:txbxContent>
                          <w:p>
                            <w:pPr>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方正仿宋_GBK" w:cs="Times New Roman"/>
                                <w:b/>
                                <w:bCs/>
                                <w:color w:val="000000" w:themeColor="text1"/>
                                <w:sz w:val="28"/>
                                <w:szCs w:val="28"/>
                                <w:highlight w:val="none"/>
                                <w14:textFill>
                                  <w14:solidFill>
                                    <w14:schemeClr w14:val="tx1"/>
                                  </w14:solidFill>
                                </w14:textFill>
                              </w:rPr>
                            </w:pPr>
                            <w:r>
                              <w:rPr>
                                <w:rFonts w:hint="default" w:ascii="Times New Roman" w:hAnsi="Times New Roman" w:eastAsia="方正仿宋_GBK" w:cs="Times New Roman"/>
                                <w:b/>
                                <w:bCs/>
                                <w:color w:val="000000" w:themeColor="text1"/>
                                <w:sz w:val="28"/>
                                <w:szCs w:val="28"/>
                                <w:highlight w:val="none"/>
                                <w14:textFill>
                                  <w14:solidFill>
                                    <w14:schemeClr w14:val="tx1"/>
                                  </w14:solidFill>
                                </w14:textFill>
                              </w:rPr>
                              <w:t>三、体育类发展建设项目</w:t>
                            </w:r>
                          </w:p>
                        </w:txbxContent>
                      </v:textbox>
                      <w10:wrap type="square"/>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序号</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项目名称</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建设性质</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建设内容及规模</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建设年限</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总投资</w: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（万元）</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b/>
                <w:bCs/>
                <w:color w:val="000000" w:themeColor="text1"/>
                <w:sz w:val="24"/>
                <w:szCs w:val="24"/>
                <w:highlight w:val="none"/>
                <w14:textFill>
                  <w14:solidFill>
                    <w14:schemeClr w14:val="tx1"/>
                  </w14:solidFill>
                </w14:textFill>
              </w:rPr>
              <w:t>计划开工时间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钦州市业余体育学校体教融合项目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优化提升业余体校的田径、游泳、蹼泳、跳水、举重、蹦床、射击、射箭、武术、跆拳道、篮球、乒乓球、羽毛球等14个项目，争创广西训练基地。</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灵山体校竞技体育提升项目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提升灵山县体校基础设施、配套建设给排水、电气及消防等公用工程，提高年度体育生培训经费等。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灵山县体育中心</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 xml:space="preserve">规划建设用地500亩，包含建设全民健身中心，包含各类运动设施，能容纳各类大型体育训练；新建业余体校。 </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4</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灵山县体育公园</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200亩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小球馆一栋（篮球、羽毛球、乒乓球、气排球、武术等项目）建设7人制足球场1个，太极养生广场1个，健身游步道1条。</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灵山县武利镇文化体育公园</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占地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公园一座，包括道路、绿化、亮化、排水等设施。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9900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6</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浦北体校竞技体育提升项目</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提升</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项目用地面积1200平方米，建筑面积3500平方米，主要建设1栋三层的业务大楼，配套建设给排水、电气及消防等公用工程。</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9" w:type="dxa"/>
            <w:gridSpan w:val="2"/>
            <w:shd w:val="clear" w:color="auto" w:fill="FFFFFF"/>
            <w:vAlign w:val="center"/>
          </w:tcPr>
          <w:p>
            <w:pPr>
              <w:pStyle w:val="7"/>
              <w:pageBreakBefore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pPr>
            <w:bookmarkStart w:id="871" w:name="_Toc1012300004"/>
            <w:r>
              <w:rPr>
                <w:rFonts w:hint="default" w:ascii="Times New Roman" w:hAnsi="Times New Roman" w:eastAsia="方正仿宋_GBK" w:cs="Times New Roman"/>
                <w:b w:val="0"/>
                <w:bCs w:val="0"/>
                <w:color w:val="000000" w:themeColor="text1"/>
                <w:sz w:val="24"/>
                <w:szCs w:val="24"/>
                <w:lang w:val="en-US" w:eastAsia="zh-CN"/>
                <w14:textFill>
                  <w14:solidFill>
                    <w14:schemeClr w14:val="tx1"/>
                  </w14:solidFill>
                </w14:textFill>
              </w:rPr>
              <w:t>7</w:t>
            </w:r>
            <w:bookmarkEnd w:id="871"/>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石祖岭户外拓展基地</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计划用地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300亩，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优化提升游客服务中心、停车场、基地形象大门，新建丛林穿越等新项目。</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8</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五皇山山地康养运动基地</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新增</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森林浴场、中医药康养中心、飞翔基地、户外拓展运动场等。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2021-2022</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9</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越州天湖滨湖运动基地</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占地30亩，拟新建综合性训练馆3000</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平方米</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、运动员宿舍5000</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平方米</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、教室会议室2000</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平方米</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、驳船码头及库房2000</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平方米</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2022-2023</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-641985</wp:posOffset>
                      </wp:positionH>
                      <wp:positionV relativeFrom="paragraph">
                        <wp:posOffset>213360</wp:posOffset>
                      </wp:positionV>
                      <wp:extent cx="850265" cy="468630"/>
                      <wp:effectExtent l="0" t="0" r="7620" b="6985"/>
                      <wp:wrapNone/>
                      <wp:docPr id="59" name="文本框 59"/>
                      <wp:cNvGraphicFramePr/>
                      <a:graphic xmlns:a="http://schemas.openxmlformats.org/drawingml/2006/main">
                        <a:graphicData uri="http://schemas.microsoft.com/office/word/2010/wordprocessingShape">
                          <wps:wsp>
                            <wps:cNvSpPr txBox="true"/>
                            <wps:spPr>
                              <a:xfrm rot="5400000">
                                <a:off x="313055" y="6933565"/>
                                <a:ext cx="850265" cy="4686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113</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0.55pt;margin-top:16.8pt;height:36.9pt;width:66.95pt;rotation:5898240f;z-index:-251538432;mso-width-relative:page;mso-height-relative:page;" fillcolor="#FFFFFF [3201]" filled="t" stroked="f" coordsize="21600,21600" o:gfxdata="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jE7/ltoAAAAKAQAADwAAAAAAAAABACAAAAA4AAAAZHJzL2Rvd25yZXYueG1sUEsB&#10;AhQAFAAAAAgAh07iQPR3Pj5PAgAAbQQAAA4AAAAAAAAAAQAgAAAAPwEAAGRycy9lMm9Eb2MueG1s&#10;UEsFBgAAAAAGAAYAWQEAAAAGA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113</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那雾山山地运动基地</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在现有彩虹滑道等项目基础上，</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建设</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500亩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山地自行车、户外徒步、高山秋千等户外运动基地等。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2021-2022</w:t>
            </w:r>
          </w:p>
        </w:tc>
        <w:tc>
          <w:tcPr>
            <w:tcW w:w="1061"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sz w:val="24"/>
              </w:rPr>
              <mc:AlternateContent>
                <mc:Choice Requires="wps">
                  <w:drawing>
                    <wp:anchor distT="0" distB="0" distL="114300" distR="114300" simplePos="0" relativeHeight="251794432" behindDoc="0" locked="0" layoutInCell="1" allowOverlap="1">
                      <wp:simplePos x="0" y="0"/>
                      <wp:positionH relativeFrom="column">
                        <wp:posOffset>347980</wp:posOffset>
                      </wp:positionH>
                      <wp:positionV relativeFrom="paragraph">
                        <wp:posOffset>669925</wp:posOffset>
                      </wp:positionV>
                      <wp:extent cx="798830" cy="410210"/>
                      <wp:effectExtent l="0" t="0" r="1270" b="8890"/>
                      <wp:wrapNone/>
                      <wp:docPr id="51" name="文本框 51"/>
                      <wp:cNvGraphicFramePr/>
                      <a:graphic xmlns:a="http://schemas.openxmlformats.org/drawingml/2006/main">
                        <a:graphicData uri="http://schemas.microsoft.com/office/word/2010/wordprocessingShape">
                          <wps:wsp>
                            <wps:cNvSpPr txBox="true"/>
                            <wps:spPr>
                              <a:xfrm>
                                <a:off x="9097645" y="6656070"/>
                                <a:ext cx="798830" cy="4102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4pt;margin-top:52.75pt;height:32.3pt;width:62.9pt;z-index:251794432;mso-width-relative:page;mso-height-relative:page;" fillcolor="#FFFFFF [3201]" filled="t" stroked="f" coordsize="21600,21600" o:gfxdata="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N9Ox&#10;4NUAAAAKAQAADwAAAAAAAAABACAAAAA4AAAAZHJzL2Rvd25yZXYueG1sUEsBAhQAFAAAAAgAh07i&#10;QONzAJxIAgAAYAQAAA4AAAAAAAAAAQAgAAAAOgEAAGRycy9lMm9Eb2MueG1sUEsFBgAAAAAGAAYA&#10;WQEAAPQFA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sz w:val="24"/>
              </w:rPr>
              <mc:AlternateContent>
                <mc:Choice Requires="wps">
                  <w:drawing>
                    <wp:anchor distT="0" distB="0" distL="114300" distR="114300" simplePos="0" relativeHeight="251778048" behindDoc="1" locked="0" layoutInCell="1" allowOverlap="1">
                      <wp:simplePos x="0" y="0"/>
                      <wp:positionH relativeFrom="column">
                        <wp:posOffset>-649605</wp:posOffset>
                      </wp:positionH>
                      <wp:positionV relativeFrom="paragraph">
                        <wp:posOffset>135890</wp:posOffset>
                      </wp:positionV>
                      <wp:extent cx="915035" cy="431800"/>
                      <wp:effectExtent l="0" t="0" r="6350" b="18415"/>
                      <wp:wrapNone/>
                      <wp:docPr id="60" name="文本框 60"/>
                      <wp:cNvGraphicFramePr/>
                      <a:graphic xmlns:a="http://schemas.openxmlformats.org/drawingml/2006/main">
                        <a:graphicData uri="http://schemas.microsoft.com/office/word/2010/wordprocessingShape">
                          <wps:wsp>
                            <wps:cNvSpPr txBox="true"/>
                            <wps:spPr>
                              <a:xfrm rot="5400000">
                                <a:off x="93345" y="179070"/>
                                <a:ext cx="915035" cy="431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114</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1.15pt;margin-top:10.7pt;height:34pt;width:72.05pt;rotation:5898240f;z-index:-251538432;mso-width-relative:page;mso-height-relative:page;" fillcolor="#FFFFFF [3201]" filled="t" stroked="f" coordsize="21600,21600" o:gfxdata="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EH788HaAAAACQEAAA8AAAAAAAAAAQAgAAAAOAAAAGRycy9kb3ducmV2LnhtbFBLAQIUABQA&#10;AAAIAIdO4kAnAYBySgIAAGsEAAAOAAAAAAAAAAEAIAAAAD8BAABkcnMvZTJvRG9jLnhtbFBLBQYA&#10;AAAABgAGAFkBAAD7BQAAAAA=&#10;">
                      <v:fill on="t" focussize="0,0"/>
                      <v:stroke on="f" weight="0.5pt"/>
                      <v:imagedata o:title=""/>
                      <o:lock v:ext="edit" aspectratio="f"/>
                      <v:textbo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114</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v:shape>
                  </w:pict>
                </mc:Fallback>
              </mc:AlternateContent>
            </w:r>
          </w:p>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11</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钦南区体校训练场</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新建钦南区体校训练场地占地30-50亩，配套建设综合训练馆、宿舍及配建食堂、浴室等。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12</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茅尾海生态体育公园</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拟增加入口广场、海上运动项目游戏、帆船帆板、沙滩活动场地、集会空间、烧烤餐饮空间、表演活动、绿道系统等。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13</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钦北区体校训练场</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新建钦北区体校训练场地占地30-50亩，配套建设综合训练馆、宿舍及配建食堂、浴室等。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14</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钦北区综合性文化体育公园</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综合服务中心、工人文化宫、档案室 多功能厅、舞蹈排练厅、教室、宿舍楼 、食堂、运动场 、综合训练馆、非物质文化遗产展厅、培训室、美术摄影室、声乐室、器乐室、体育活动室、乒乓球室、健身房、健身步道及相关绿化、亮化等基础配套设施。</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15000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15</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望海岭国际滑翔伞基地</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top"/>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项目总用地面积572.95亩，总建筑面积20850平方米。主要建设内容包括：飞行培训基地、起飞场降落场、热气球场地、超轻型飞机场地、山顶观光建筑、游客服务中心、酒店、商业街、自行车驿站、速降道、玻璃栈道、索道、嘉年华乐园、户外运动场地、停车场、房车营地、上山道路。</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30000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16</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八寨沟漂流提升</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优化八寨沟森林公园漂流上下码头、旅游厕所、码头环卫设施、景观配套设施等内容。</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17</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pacing w:val="-11"/>
                <w:sz w:val="24"/>
                <w:szCs w:val="24"/>
                <w:highlight w:val="none"/>
                <w14:textFill>
                  <w14:solidFill>
                    <w14:schemeClr w14:val="tx1"/>
                  </w14:solidFill>
                </w14:textFill>
              </w:rPr>
              <w:t>犀丽湾低空旅游休闲运动基地</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计划用地</w:t>
            </w: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1000亩，</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建设犀丽湾帆船、游艇、潜水、运动</w:t>
            </w:r>
            <w:r>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t>漂移</w:t>
            </w:r>
            <w:r>
              <w:rPr>
                <w:rFonts w:hint="default" w:ascii="Times New Roman" w:hAnsi="Times New Roman" w:eastAsia="方正仿宋_GBK" w:cs="Times New Roman"/>
                <w:color w:val="000000" w:themeColor="text1"/>
                <w:sz w:val="24"/>
                <w:szCs w:val="24"/>
                <w:highlight w:val="none"/>
                <w14:textFill>
                  <w14:solidFill>
                    <w14:schemeClr w14:val="tx1"/>
                  </w14:solidFill>
                </w14:textFill>
              </w:rPr>
              <w:t>艇、青少年OP帆船、双体帆船培训等内容。</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09" w:type="dxa"/>
            <w:gridSpan w:val="2"/>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lang w:val="en-US" w:eastAsia="zh-CN"/>
                <w14:textFill>
                  <w14:solidFill>
                    <w14:schemeClr w14:val="tx1"/>
                  </w14:solidFill>
                </w14:textFill>
              </w:rPr>
              <w:t>18</w:t>
            </w:r>
          </w:p>
        </w:tc>
        <w:tc>
          <w:tcPr>
            <w:tcW w:w="178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北部湾</w:t>
            </w:r>
            <w:r>
              <w:rPr>
                <w:rFonts w:hint="default" w:ascii="Times New Roman" w:hAnsi="Times New Roman" w:eastAsia="方正仿宋_GBK" w:cs="Times New Roman"/>
                <w:color w:val="000000" w:themeColor="text1"/>
                <w:sz w:val="24"/>
                <w:szCs w:val="24"/>
                <w14:textFill>
                  <w14:solidFill>
                    <w14:schemeClr w14:val="tx1"/>
                  </w14:solidFill>
                </w14:textFill>
              </w:rPr>
              <w:t>体育</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产业园（体育公园）</w:t>
            </w:r>
          </w:p>
        </w:tc>
        <w:tc>
          <w:tcPr>
            <w:tcW w:w="850"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新建</w:t>
            </w:r>
          </w:p>
        </w:tc>
        <w:tc>
          <w:tcPr>
            <w:tcW w:w="764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占地</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2000亩，</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在自贸区钦州港片区</w:t>
            </w:r>
            <w:r>
              <w:rPr>
                <w:rFonts w:hint="default" w:ascii="Times New Roman" w:hAnsi="Times New Roman" w:eastAsia="方正仿宋_GBK" w:cs="Times New Roman"/>
                <w:color w:val="000000" w:themeColor="text1"/>
                <w:sz w:val="24"/>
                <w:szCs w:val="24"/>
                <w14:textFill>
                  <w14:solidFill>
                    <w14:schemeClr w14:val="tx1"/>
                  </w14:solidFill>
                </w14:textFill>
              </w:rPr>
              <w:t>建设体育</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产业园（体育</w:t>
            </w:r>
            <w:r>
              <w:rPr>
                <w:rFonts w:hint="default" w:ascii="Times New Roman" w:hAnsi="Times New Roman" w:eastAsia="方正仿宋_GBK" w:cs="Times New Roman"/>
                <w:color w:val="000000" w:themeColor="text1"/>
                <w:sz w:val="24"/>
                <w:szCs w:val="24"/>
                <w14:textFill>
                  <w14:solidFill>
                    <w14:schemeClr w14:val="tx1"/>
                  </w14:solidFill>
                </w14:textFill>
              </w:rPr>
              <w:t>公园</w:t>
            </w:r>
            <w:r>
              <w:rPr>
                <w:rFonts w:hint="default" w:ascii="Times New Roman" w:hAnsi="Times New Roman" w:eastAsia="方正仿宋_GBK" w:cs="Times New Roman"/>
                <w:color w:val="000000" w:themeColor="text1"/>
                <w:sz w:val="24"/>
                <w:szCs w:val="24"/>
                <w:lang w:eastAsia="zh-CN"/>
                <w14:textFill>
                  <w14:solidFill>
                    <w14:schemeClr w14:val="tx1"/>
                  </w14:solidFill>
                </w14:textFill>
              </w:rPr>
              <w:t>）</w:t>
            </w:r>
            <w:r>
              <w:rPr>
                <w:rFonts w:hint="default" w:ascii="Times New Roman" w:hAnsi="Times New Roman" w:eastAsia="方正仿宋_GBK" w:cs="Times New Roman"/>
                <w:color w:val="000000" w:themeColor="text1"/>
                <w:sz w:val="24"/>
                <w:szCs w:val="24"/>
                <w14:textFill>
                  <w14:solidFill>
                    <w14:schemeClr w14:val="tx1"/>
                  </w14:solidFill>
                </w14:textFill>
              </w:rPr>
              <w:t>，建设体育赛事活动中心、海洋保健产品研发中心、滨海康养体验中心等。</w:t>
            </w:r>
          </w:p>
        </w:tc>
        <w:tc>
          <w:tcPr>
            <w:tcW w:w="1358"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w:t>
            </w: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仿宋_GBK" w:cs="Times New Roman"/>
                <w:color w:val="000000" w:themeColor="text1"/>
                <w:sz w:val="24"/>
                <w:szCs w:val="24"/>
                <w14:textFill>
                  <w14:solidFill>
                    <w14:schemeClr w14:val="tx1"/>
                  </w14:solidFill>
                </w14:textFill>
              </w:rPr>
              <w:t>-2025</w:t>
            </w:r>
          </w:p>
        </w:tc>
        <w:tc>
          <w:tcPr>
            <w:tcW w:w="1061"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lang w:val="en-US" w:eastAsia="zh-CN"/>
                <w14:textFill>
                  <w14:solidFill>
                    <w14:schemeClr w14:val="tx1"/>
                  </w14:solidFill>
                </w14:textFill>
              </w:rPr>
              <w:t>1</w:t>
            </w:r>
            <w:r>
              <w:rPr>
                <w:rFonts w:hint="default" w:ascii="Times New Roman" w:hAnsi="Times New Roman" w:eastAsia="方正仿宋_GBK" w:cs="Times New Roman"/>
                <w:color w:val="000000" w:themeColor="text1"/>
                <w:sz w:val="24"/>
                <w:szCs w:val="24"/>
                <w14:textFill>
                  <w14:solidFill>
                    <w14:schemeClr w14:val="tx1"/>
                  </w14:solidFill>
                </w14:textFill>
              </w:rPr>
              <w:t>0000</w:t>
            </w:r>
          </w:p>
        </w:tc>
        <w:tc>
          <w:tcPr>
            <w:tcW w:w="856" w:type="dxa"/>
            <w:shd w:val="clear" w:color="auto" w:fill="FFFFFF"/>
            <w:vAlign w:val="center"/>
          </w:tcPr>
          <w:p>
            <w:pPr>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方正仿宋_GBK" w:cs="Times New Roman"/>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14:textFill>
                  <w14:solidFill>
                    <w14:schemeClr w14:val="tx1"/>
                  </w14:solidFill>
                </w14:textFill>
              </w:rPr>
              <w:t>2022</w:t>
            </w:r>
          </w:p>
        </w:tc>
      </w:tr>
    </w:tbl>
    <w:p>
      <w:pPr>
        <w:widowControl/>
        <w:ind w:firstLine="0" w:firstLineChars="0"/>
        <w:rPr>
          <w:rFonts w:ascii="Times New Roman" w:hAnsi="Times New Roman" w:cs="Times New Roman"/>
          <w:color w:val="000000" w:themeColor="text1"/>
          <w:sz w:val="24"/>
          <w:szCs w:val="21"/>
          <w:highlight w:val="none"/>
          <w14:textFill>
            <w14:solidFill>
              <w14:schemeClr w14:val="tx1"/>
            </w14:solidFill>
          </w14:textFill>
        </w:rPr>
        <w:sectPr>
          <w:headerReference r:id="rId11" w:type="first"/>
          <w:footerReference r:id="rId14" w:type="first"/>
          <w:headerReference r:id="rId9" w:type="default"/>
          <w:footerReference r:id="rId12" w:type="default"/>
          <w:headerReference r:id="rId10" w:type="even"/>
          <w:footerReference r:id="rId13" w:type="even"/>
          <w:pgSz w:w="16838" w:h="11906" w:orient="landscape"/>
          <w:pgMar w:top="960" w:right="1440" w:bottom="1417" w:left="1440" w:header="283" w:footer="964" w:gutter="0"/>
          <w:pgNumType w:fmt="decimal"/>
          <w:cols w:space="425" w:num="1"/>
          <w:docGrid w:type="lines" w:linePitch="381" w:charSpace="0"/>
        </w:sectPr>
      </w:pPr>
      <w:r>
        <w:rPr>
          <w:sz w:val="24"/>
        </w:rPr>
        <mc:AlternateContent>
          <mc:Choice Requires="wps">
            <w:drawing>
              <wp:anchor distT="0" distB="0" distL="114300" distR="114300" simplePos="0" relativeHeight="251795456" behindDoc="0" locked="0" layoutInCell="1" allowOverlap="1">
                <wp:simplePos x="0" y="0"/>
                <wp:positionH relativeFrom="column">
                  <wp:posOffset>-74295</wp:posOffset>
                </wp:positionH>
                <wp:positionV relativeFrom="paragraph">
                  <wp:posOffset>991235</wp:posOffset>
                </wp:positionV>
                <wp:extent cx="769620" cy="307340"/>
                <wp:effectExtent l="0" t="0" r="11430" b="16510"/>
                <wp:wrapNone/>
                <wp:docPr id="55" name="文本框 55"/>
                <wp:cNvGraphicFramePr/>
                <a:graphic xmlns:a="http://schemas.openxmlformats.org/drawingml/2006/main">
                  <a:graphicData uri="http://schemas.microsoft.com/office/word/2010/wordprocessingShape">
                    <wps:wsp>
                      <wps:cNvSpPr txBox="true"/>
                      <wps:spPr>
                        <a:xfrm>
                          <a:off x="840105" y="6632575"/>
                          <a:ext cx="769620"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85pt;margin-top:78.05pt;height:24.2pt;width:60.6pt;z-index:251795456;mso-width-relative:page;mso-height-relative:page;" fillcolor="#FFFFFF [3201]" filled="t" stroked="f" coordsize="21600,21600" o:gfxdata="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wW4x&#10;6dYAAAALAQAADwAAAAAAAAABACAAAAA4AAAAZHJzL2Rvd25yZXYueG1sUEsBAhQAFAAAAAgAh07i&#10;QJxJ0QNHAgAAXwQAAA4AAAAAAAAAAQAgAAAAOwEAAGRycy9lMm9Eb2MueG1sUEsFBgAAAAAGAAYA&#10;WQEAAPQFAAAAAA==&#10;">
                <v:fill on="t" focussize="0,0"/>
                <v:stroke on="f" weight="0.5pt"/>
                <v:imagedata o:title=""/>
                <o:lock v:ext="edit" aspectratio="f"/>
                <v:textbox>
                  <w:txbxContent>
                    <w:p/>
                  </w:txbxContent>
                </v:textbox>
              </v:shape>
            </w:pict>
          </mc:Fallback>
        </mc:AlternateContent>
      </w:r>
    </w:p>
    <w:p>
      <w:pPr>
        <w:pStyle w:val="29"/>
        <w:spacing w:before="120" w:after="120" w:line="560" w:lineRule="exact"/>
        <w:rPr>
          <w:rFonts w:hint="default" w:ascii="Times New Roman" w:hAnsi="Times New Roman" w:eastAsia="方正黑体_GBK" w:cs="Times New Roman"/>
          <w:b w:val="0"/>
          <w:bCs w:val="0"/>
          <w:color w:val="000000" w:themeColor="text1"/>
          <w:sz w:val="36"/>
          <w:highlight w:val="none"/>
          <w14:textFill>
            <w14:solidFill>
              <w14:schemeClr w14:val="tx1"/>
            </w14:solidFill>
          </w14:textFill>
        </w:rPr>
      </w:pPr>
      <w:bookmarkStart w:id="872" w:name="_Toc23992"/>
      <w:bookmarkStart w:id="873" w:name="_Toc1046700978"/>
      <w:bookmarkStart w:id="874" w:name="_Toc530143593"/>
      <w:bookmarkStart w:id="875" w:name="_Toc1206296698"/>
      <w:bookmarkStart w:id="876" w:name="_Toc838268369"/>
      <w:r>
        <w:rPr>
          <w:rFonts w:hint="default" w:ascii="Times New Roman" w:hAnsi="Times New Roman" w:eastAsia="方正黑体_GBK" w:cs="Times New Roman"/>
          <w:b w:val="0"/>
          <w:bCs w:val="0"/>
          <w:color w:val="000000" w:themeColor="text1"/>
          <w:sz w:val="36"/>
          <w:highlight w:val="none"/>
          <w14:textFill>
            <w14:solidFill>
              <w14:schemeClr w14:val="tx1"/>
            </w14:solidFill>
          </w14:textFill>
        </w:rPr>
        <w:t>附图：钦州市文化广电体育和旅游</w:t>
      </w:r>
      <w:r>
        <w:rPr>
          <w:rFonts w:hint="eastAsia" w:ascii="Times New Roman" w:hAnsi="Times New Roman" w:eastAsia="方正黑体_GBK" w:cs="Times New Roman"/>
          <w:b w:val="0"/>
          <w:bCs w:val="0"/>
          <w:color w:val="000000" w:themeColor="text1"/>
          <w:sz w:val="36"/>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sz w:val="36"/>
          <w:highlight w:val="none"/>
          <w14:textFill>
            <w14:solidFill>
              <w14:schemeClr w14:val="tx1"/>
            </w14:solidFill>
          </w14:textFill>
        </w:rPr>
        <w:t>十四五</w:t>
      </w:r>
      <w:r>
        <w:rPr>
          <w:rFonts w:hint="eastAsia" w:ascii="Times New Roman" w:hAnsi="Times New Roman" w:eastAsia="方正黑体_GBK" w:cs="Times New Roman"/>
          <w:b w:val="0"/>
          <w:bCs w:val="0"/>
          <w:color w:val="000000" w:themeColor="text1"/>
          <w:sz w:val="36"/>
          <w:highlight w:val="none"/>
          <w:lang w:eastAsia="zh-CN"/>
          <w14:textFill>
            <w14:solidFill>
              <w14:schemeClr w14:val="tx1"/>
            </w14:solidFill>
          </w14:textFill>
        </w:rPr>
        <w:t>”</w:t>
      </w:r>
      <w:r>
        <w:rPr>
          <w:rFonts w:hint="default" w:ascii="Times New Roman" w:hAnsi="Times New Roman" w:eastAsia="方正黑体_GBK" w:cs="Times New Roman"/>
          <w:b w:val="0"/>
          <w:bCs w:val="0"/>
          <w:color w:val="000000" w:themeColor="text1"/>
          <w:sz w:val="36"/>
          <w:highlight w:val="none"/>
          <w14:textFill>
            <w14:solidFill>
              <w14:schemeClr w14:val="tx1"/>
            </w14:solidFill>
          </w14:textFill>
        </w:rPr>
        <w:t>规划图纸</w:t>
      </w:r>
      <w:bookmarkEnd w:id="863"/>
      <w:bookmarkEnd w:id="864"/>
      <w:bookmarkEnd w:id="872"/>
      <w:bookmarkEnd w:id="873"/>
      <w:bookmarkEnd w:id="874"/>
      <w:bookmarkEnd w:id="875"/>
      <w:bookmarkEnd w:id="876"/>
    </w:p>
    <w:p>
      <w:pPr>
        <w:widowControl/>
        <w:ind w:firstLine="0" w:firstLineChars="0"/>
        <w:rPr>
          <w:rFonts w:ascii="Times New Roman" w:hAnsi="Times New Roman" w:cs="Times New Roman"/>
          <w:color w:val="000000" w:themeColor="text1"/>
          <w:sz w:val="30"/>
          <w:szCs w:val="32"/>
          <w:highlight w:val="none"/>
          <w14:textFill>
            <w14:solidFill>
              <w14:schemeClr w14:val="tx1"/>
            </w14:solidFill>
          </w14:textFill>
        </w:rPr>
      </w:pPr>
    </w:p>
    <w:p>
      <w:pPr>
        <w:ind w:firstLine="640"/>
        <w:rPr>
          <w:rFonts w:hint="default" w:ascii="Times New Roman" w:hAnsi="Times New Roman" w:eastAsia="方正黑体_GBK" w:cs="Times New Roman"/>
          <w:color w:val="000000" w:themeColor="text1"/>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z w:val="32"/>
          <w:szCs w:val="32"/>
          <w:highlight w:val="none"/>
          <w14:textFill>
            <w14:solidFill>
              <w14:schemeClr w14:val="tx1"/>
            </w14:solidFill>
          </w14:textFill>
        </w:rPr>
        <w:t>01区位关系图</w:t>
      </w:r>
    </w:p>
    <w:p>
      <w:pPr>
        <w:ind w:firstLine="640"/>
        <w:rPr>
          <w:rFonts w:hint="default" w:ascii="Times New Roman" w:hAnsi="Times New Roman" w:eastAsia="方正黑体_GBK" w:cs="Times New Roman"/>
          <w:color w:val="000000" w:themeColor="text1"/>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z w:val="32"/>
          <w:szCs w:val="32"/>
          <w:highlight w:val="none"/>
          <w14:textFill>
            <w14:solidFill>
              <w14:schemeClr w14:val="tx1"/>
            </w14:solidFill>
          </w14:textFill>
        </w:rPr>
        <w:t>02发展格局规划图</w:t>
      </w:r>
    </w:p>
    <w:p>
      <w:pPr>
        <w:ind w:firstLine="640"/>
        <w:rPr>
          <w:rFonts w:hint="default" w:ascii="Times New Roman" w:hAnsi="Times New Roman" w:eastAsia="方正黑体_GBK" w:cs="Times New Roman"/>
          <w:color w:val="000000" w:themeColor="text1"/>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z w:val="32"/>
          <w:szCs w:val="32"/>
          <w:highlight w:val="none"/>
          <w14:textFill>
            <w14:solidFill>
              <w14:schemeClr w14:val="tx1"/>
            </w14:solidFill>
          </w14:textFill>
        </w:rPr>
        <w:t>03重点文旅项目布局图</w:t>
      </w:r>
    </w:p>
    <w:p>
      <w:pPr>
        <w:ind w:firstLine="640"/>
        <w:rPr>
          <w:rFonts w:hint="default" w:ascii="Times New Roman" w:hAnsi="Times New Roman" w:eastAsia="方正黑体_GBK" w:cs="Times New Roman"/>
          <w:color w:val="000000" w:themeColor="text1"/>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z w:val="32"/>
          <w:szCs w:val="32"/>
          <w:highlight w:val="none"/>
          <w14:textFill>
            <w14:solidFill>
              <w14:schemeClr w14:val="tx1"/>
            </w14:solidFill>
          </w14:textFill>
        </w:rPr>
        <w:t>04重点广电项目布局图</w:t>
      </w:r>
    </w:p>
    <w:p>
      <w:pPr>
        <w:ind w:firstLine="640"/>
        <w:rPr>
          <w:rFonts w:hint="default" w:ascii="Times New Roman" w:hAnsi="Times New Roman" w:eastAsia="方正黑体_GBK" w:cs="Times New Roman"/>
          <w:color w:val="000000" w:themeColor="text1"/>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z w:val="32"/>
          <w:szCs w:val="32"/>
          <w:highlight w:val="none"/>
          <w14:textFill>
            <w14:solidFill>
              <w14:schemeClr w14:val="tx1"/>
            </w14:solidFill>
          </w14:textFill>
        </w:rPr>
        <w:t>05重点体育项目布局图</w:t>
      </w:r>
    </w:p>
    <w:p>
      <w:pPr>
        <w:ind w:firstLine="640"/>
        <w:rPr>
          <w:rFonts w:hint="default" w:ascii="Times New Roman" w:hAnsi="Times New Roman" w:eastAsia="方正黑体_GBK" w:cs="Times New Roman"/>
          <w:color w:val="000000" w:themeColor="text1"/>
          <w:sz w:val="24"/>
          <w:szCs w:val="21"/>
          <w:highlight w:val="none"/>
          <w14:textFill>
            <w14:solidFill>
              <w14:schemeClr w14:val="tx1"/>
            </w14:solidFill>
          </w14:textFill>
        </w:rPr>
        <w:sectPr>
          <w:headerReference r:id="rId15" w:type="default"/>
          <w:footerReference r:id="rId16" w:type="default"/>
          <w:pgSz w:w="11906" w:h="16838"/>
          <w:pgMar w:top="2098" w:right="1531" w:bottom="1531" w:left="1531" w:header="851" w:footer="992" w:gutter="0"/>
          <w:pgNumType w:fmt="decimal"/>
          <w:cols w:space="425" w:num="1"/>
          <w:docGrid w:type="lines" w:linePitch="381" w:charSpace="0"/>
        </w:sectPr>
      </w:pPr>
      <w:r>
        <w:rPr>
          <w:rFonts w:hint="default" w:ascii="Times New Roman" w:hAnsi="Times New Roman" w:eastAsia="方正黑体_GBK" w:cs="Times New Roman"/>
          <w:color w:val="000000" w:themeColor="text1"/>
          <w:sz w:val="32"/>
          <w:szCs w:val="32"/>
          <w:highlight w:val="none"/>
          <w14:textFill>
            <w14:solidFill>
              <w14:schemeClr w14:val="tx1"/>
            </w14:solidFill>
          </w14:textFill>
        </w:rPr>
        <w:t>06重点公共服务设施图</w:t>
      </w:r>
    </w:p>
    <w:p>
      <w:pPr>
        <w:widowControl/>
        <w:ind w:firstLine="0" w:firstLineChars="0"/>
        <w:rPr>
          <w:rFonts w:ascii="Times New Roman" w:hAnsi="Times New Roman" w:cs="Times New Roman"/>
          <w:color w:val="000000" w:themeColor="text1"/>
          <w:sz w:val="24"/>
          <w:szCs w:val="21"/>
          <w:highlight w:val="none"/>
          <w14:textFill>
            <w14:solidFill>
              <w14:schemeClr w14:val="tx1"/>
            </w14:solidFill>
          </w14:textFill>
        </w:rPr>
      </w:pPr>
      <w:r>
        <w:rPr>
          <w:sz w:val="24"/>
        </w:rPr>
        <mc:AlternateContent>
          <mc:Choice Requires="wps">
            <w:drawing>
              <wp:anchor distT="0" distB="0" distL="114300" distR="114300" simplePos="0" relativeHeight="251666432" behindDoc="0" locked="0" layoutInCell="1" allowOverlap="1">
                <wp:simplePos x="0" y="0"/>
                <wp:positionH relativeFrom="column">
                  <wp:posOffset>-793750</wp:posOffset>
                </wp:positionH>
                <wp:positionV relativeFrom="paragraph">
                  <wp:posOffset>6350</wp:posOffset>
                </wp:positionV>
                <wp:extent cx="1317625" cy="447040"/>
                <wp:effectExtent l="0" t="0" r="10160" b="15875"/>
                <wp:wrapSquare wrapText="bothSides"/>
                <wp:docPr id="10" name="文本框 10"/>
                <wp:cNvGraphicFramePr/>
                <a:graphic xmlns:a="http://schemas.openxmlformats.org/drawingml/2006/main">
                  <a:graphicData uri="http://schemas.microsoft.com/office/word/2010/wordprocessingShape">
                    <wps:wsp>
                      <wps:cNvSpPr txBox="true"/>
                      <wps:spPr>
                        <a:xfrm rot="5400000">
                          <a:off x="2056130" y="284480"/>
                          <a:ext cx="1317625"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116</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2.5pt;margin-top:0.5pt;height:35.2pt;width:103.75pt;mso-wrap-distance-bottom:0pt;mso-wrap-distance-left:9pt;mso-wrap-distance-right:9pt;mso-wrap-distance-top:0pt;rotation:5898240f;z-index:251666432;mso-width-relative:page;mso-height-relative:page;" fillcolor="#FFFFFF [3201]" filled="t" stroked="f" coordsize="21600,21600" o:gfxdata="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H68uNfZAAAACAEAAA8AAAAAAAAAAQAgAAAAOAAAAGRycy9kb3ducmV2LnhtbFBLAQIU&#10;ABQAAAAIAIdO4kAfFZj+TgIAAG4EAAAOAAAAAAAAAAEAIAAAAD4BAABkcnMvZTJvRG9jLnhtbFBL&#10;BQYAAAAABgAGAFkBAAD+BQAAAAA=&#10;">
                <v:fill on="t" focussize="0,0"/>
                <v:stroke on="f" weight="0.5pt"/>
                <v:imagedata o:title=""/>
                <o:lock v:ext="edit" aspectratio="f"/>
                <v:textbo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116</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w10:wrap type="square"/>
              </v:shape>
            </w:pict>
          </mc:Fallback>
        </mc:AlternateContent>
      </w:r>
      <w:r>
        <w:rPr>
          <w:rFonts w:ascii="Times New Roman" w:hAnsi="Times New Roman" w:cs="Times New Roman"/>
          <w:color w:val="000000" w:themeColor="text1"/>
          <w:sz w:val="24"/>
          <w:szCs w:val="2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page">
              <wp:posOffset>935355</wp:posOffset>
            </wp:positionH>
            <wp:positionV relativeFrom="paragraph">
              <wp:posOffset>183515</wp:posOffset>
            </wp:positionV>
            <wp:extent cx="8851265" cy="5152390"/>
            <wp:effectExtent l="0" t="0" r="6985" b="10160"/>
            <wp:wrapNone/>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l="711" r="3105" b="307"/>
                    <a:stretch>
                      <a:fillRect/>
                    </a:stretch>
                  </pic:blipFill>
                  <pic:spPr>
                    <a:xfrm>
                      <a:off x="0" y="0"/>
                      <a:ext cx="8851265" cy="5152390"/>
                    </a:xfrm>
                    <a:prstGeom prst="rect">
                      <a:avLst/>
                    </a:prstGeom>
                    <a:noFill/>
                    <a:ln>
                      <a:noFill/>
                    </a:ln>
                  </pic:spPr>
                </pic:pic>
              </a:graphicData>
            </a:graphic>
          </wp:anchor>
        </w:drawing>
      </w:r>
    </w:p>
    <w:p>
      <w:pPr>
        <w:widowControl/>
        <w:ind w:firstLine="0" w:firstLineChars="0"/>
        <w:rPr>
          <w:rFonts w:ascii="Times New Roman" w:hAnsi="Times New Roman" w:cs="Times New Roman"/>
          <w:color w:val="000000" w:themeColor="text1"/>
          <w:sz w:val="24"/>
          <w:szCs w:val="21"/>
          <w:highlight w:val="none"/>
          <w14:textFill>
            <w14:solidFill>
              <w14:schemeClr w14:val="tx1"/>
            </w14:solidFill>
          </w14:textFill>
        </w:rPr>
      </w:pPr>
      <w:r>
        <w:rPr>
          <w:sz w:val="24"/>
        </w:rPr>
        <mc:AlternateContent>
          <mc:Choice Requires="wps">
            <w:drawing>
              <wp:anchor distT="0" distB="0" distL="114300" distR="114300" simplePos="0" relativeHeight="251774976" behindDoc="0" locked="0" layoutInCell="1" allowOverlap="1">
                <wp:simplePos x="0" y="0"/>
                <wp:positionH relativeFrom="column">
                  <wp:posOffset>-229235</wp:posOffset>
                </wp:positionH>
                <wp:positionV relativeFrom="paragraph">
                  <wp:posOffset>5180330</wp:posOffset>
                </wp:positionV>
                <wp:extent cx="769620" cy="278765"/>
                <wp:effectExtent l="4445" t="4445" r="6985" b="21590"/>
                <wp:wrapNone/>
                <wp:docPr id="31" name="文本框 31"/>
                <wp:cNvGraphicFramePr/>
                <a:graphic xmlns:a="http://schemas.openxmlformats.org/drawingml/2006/main">
                  <a:graphicData uri="http://schemas.microsoft.com/office/word/2010/wordprocessingShape">
                    <wps:wsp>
                      <wps:cNvSpPr txBox="true"/>
                      <wps:spPr>
                        <a:xfrm>
                          <a:off x="898525" y="6678930"/>
                          <a:ext cx="769620" cy="2787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8.05pt;margin-top:407.9pt;height:21.95pt;width:60.6pt;z-index:251774976;mso-width-relative:page;mso-height-relative:page;" fillcolor="#FFFFFF [3201]" filled="t" stroked="t" coordsize="21600,21600" o:gfxdata="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elzxydgAAAAKAQAADwAAAAAAAAABACAAAAA4AAAAZHJzL2Rvd25yZXYueG1sUEsBAhQAFAAAAAgA&#10;h07iQKJXccVIAgAAiAQAAA4AAAAAAAAAAQAgAAAAPQEAAGRycy9lMm9Eb2MueG1sUEsFBgAAAAAG&#10;AAYAWQEAAPcFAAAAAA==&#10;">
                <v:fill on="t" focussize="0,0"/>
                <v:stroke weight="0.5pt" color="#FFFFFF [3212]" joinstyle="round"/>
                <v:imagedata o:title=""/>
                <o:lock v:ext="edit" aspectratio="f"/>
                <v:textbox>
                  <w:txbxContent>
                    <w:p/>
                  </w:txbxContent>
                </v:textbox>
              </v:shape>
            </w:pict>
          </mc:Fallback>
        </mc:AlternateContent>
      </w:r>
      <w:r>
        <w:rPr>
          <w:rFonts w:ascii="Times New Roman" w:hAnsi="Times New Roman" w:cs="Times New Roman"/>
          <w:color w:val="000000" w:themeColor="text1"/>
          <w:sz w:val="24"/>
          <w:szCs w:val="21"/>
          <w:highlight w:val="none"/>
          <w14:textFill>
            <w14:solidFill>
              <w14:schemeClr w14:val="tx1"/>
            </w14:solidFill>
          </w14:textFill>
        </w:rPr>
        <w:br w:type="page"/>
      </w:r>
    </w:p>
    <w:p>
      <w:pPr>
        <w:widowControl/>
        <w:spacing w:line="240" w:lineRule="auto"/>
        <w:ind w:firstLine="0" w:firstLineChars="0"/>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pPr>
      <w:r>
        <w:rPr>
          <w:sz w:val="24"/>
        </w:rPr>
        <mc:AlternateContent>
          <mc:Choice Requires="wps">
            <w:drawing>
              <wp:anchor distT="0" distB="0" distL="114300" distR="114300" simplePos="0" relativeHeight="251773952" behindDoc="0" locked="0" layoutInCell="1" allowOverlap="1">
                <wp:simplePos x="0" y="0"/>
                <wp:positionH relativeFrom="column">
                  <wp:posOffset>7833995</wp:posOffset>
                </wp:positionH>
                <wp:positionV relativeFrom="paragraph">
                  <wp:posOffset>5506085</wp:posOffset>
                </wp:positionV>
                <wp:extent cx="769620" cy="359410"/>
                <wp:effectExtent l="4445" t="4445" r="6985" b="17145"/>
                <wp:wrapNone/>
                <wp:docPr id="30" name="文本框 30"/>
                <wp:cNvGraphicFramePr/>
                <a:graphic xmlns:a="http://schemas.openxmlformats.org/drawingml/2006/main">
                  <a:graphicData uri="http://schemas.microsoft.com/office/word/2010/wordprocessingShape">
                    <wps:wsp>
                      <wps:cNvSpPr txBox="true"/>
                      <wps:spPr>
                        <a:xfrm>
                          <a:off x="9046210" y="6649085"/>
                          <a:ext cx="769620" cy="3594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16.85pt;margin-top:433.55pt;height:28.3pt;width:60.6pt;z-index:251773952;mso-width-relative:page;mso-height-relative:page;" fillcolor="#FFFFFF [3201]" filled="t" stroked="t" coordsize="21600,21600" o:gfxdata="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4W+qW9oAAAANAQAADwAAAAAAAAABACAAAAA4AAAAZHJzL2Rvd25yZXYueG1sUEsBAhQAFAAA&#10;AAgAh07iQNvbaAdJAgAAiQQAAA4AAAAAAAAAAQAgAAAAPwEAAGRycy9lMm9Eb2MueG1sUEsFBgAA&#10;AAAGAAYAWQEAAPoFAAAAAA==&#10;">
                <v:fill on="t" focussize="0,0"/>
                <v:stroke weight="0.5pt" color="#FFFFFF [3212]"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-709295</wp:posOffset>
                </wp:positionH>
                <wp:positionV relativeFrom="paragraph">
                  <wp:posOffset>4869815</wp:posOffset>
                </wp:positionV>
                <wp:extent cx="1317625" cy="447040"/>
                <wp:effectExtent l="0" t="0" r="10160" b="15875"/>
                <wp:wrapSquare wrapText="bothSides"/>
                <wp:docPr id="14" name="文本框 14"/>
                <wp:cNvGraphicFramePr/>
                <a:graphic xmlns:a="http://schemas.openxmlformats.org/drawingml/2006/main">
                  <a:graphicData uri="http://schemas.microsoft.com/office/word/2010/wordprocessingShape">
                    <wps:wsp>
                      <wps:cNvSpPr txBox="true"/>
                      <wps:spPr>
                        <a:xfrm rot="5400000">
                          <a:off x="0" y="0"/>
                          <a:ext cx="1317625"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117</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5.85pt;margin-top:383.45pt;height:35.2pt;width:103.75pt;mso-wrap-distance-bottom:0pt;mso-wrap-distance-left:9pt;mso-wrap-distance-right:9pt;mso-wrap-distance-top:0pt;rotation:5898240f;z-index:251683840;mso-width-relative:page;mso-height-relative:page;" fillcolor="#FFFFFF [3201]" filled="t" stroked="f" coordsize="21600,21600" o:gfxdata="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C5xaL/cAAAACwEAAA8AAAAAAAAAAQAgAAAAOAAAAGRycy9kb3ducmV2LnhtbFBLAQIUABQAAAAI&#10;AIdO4kB1/vEcRQIAAGMEAAAOAAAAAAAAAAEAIAAAAEEBAABkcnMvZTJvRG9jLnhtbFBLBQYAAAAA&#10;BgAGAFkBAAD4BQAAAAA=&#10;">
                <v:fill on="t" focussize="0,0"/>
                <v:stroke on="f" weight="0.5pt"/>
                <v:imagedata o:title=""/>
                <o:lock v:ext="edit" aspectratio="f"/>
                <v:textbo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117</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w10:wrap type="square"/>
              </v:shape>
            </w:pict>
          </mc:Fallback>
        </mc:AlternateConten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174625</wp:posOffset>
            </wp:positionH>
            <wp:positionV relativeFrom="paragraph">
              <wp:posOffset>116205</wp:posOffset>
            </wp:positionV>
            <wp:extent cx="8674100" cy="4994910"/>
            <wp:effectExtent l="0" t="0" r="12700" b="15240"/>
            <wp:wrapSquare wrapText="bothSides"/>
            <wp:docPr id="3" name="图片 3"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true"/>
                    </pic:cNvPicPr>
                  </pic:nvPicPr>
                  <pic:blipFill>
                    <a:blip r:embed="rId27"/>
                    <a:srcRect r="2114" b="1822"/>
                    <a:stretch>
                      <a:fillRect/>
                    </a:stretch>
                  </pic:blipFill>
                  <pic:spPr>
                    <a:xfrm>
                      <a:off x="0" y="0"/>
                      <a:ext cx="8674100" cy="4994910"/>
                    </a:xfrm>
                    <a:prstGeom prst="rect">
                      <a:avLst/>
                    </a:prstGeom>
                  </pic:spPr>
                </pic:pic>
              </a:graphicData>
            </a:graphic>
          </wp:anchor>
        </w:drawing>
      </w:r>
    </w:p>
    <w:p>
      <w:pPr>
        <w:spacing w:line="240" w:lineRule="auto"/>
        <w:ind w:firstLine="480"/>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pPr>
      <w:r>
        <w:rPr>
          <w:sz w:val="24"/>
        </w:rPr>
        <mc:AlternateContent>
          <mc:Choice Requires="wps">
            <w:drawing>
              <wp:anchor distT="0" distB="0" distL="114300" distR="114300" simplePos="0" relativeHeight="251772928" behindDoc="0" locked="0" layoutInCell="1" allowOverlap="1">
                <wp:simplePos x="0" y="0"/>
                <wp:positionH relativeFrom="column">
                  <wp:posOffset>-30480</wp:posOffset>
                </wp:positionH>
                <wp:positionV relativeFrom="paragraph">
                  <wp:posOffset>259080</wp:posOffset>
                </wp:positionV>
                <wp:extent cx="769620" cy="209550"/>
                <wp:effectExtent l="4445" t="4445" r="6985" b="14605"/>
                <wp:wrapNone/>
                <wp:docPr id="29" name="文本框 29"/>
                <wp:cNvGraphicFramePr/>
                <a:graphic xmlns:a="http://schemas.openxmlformats.org/drawingml/2006/main">
                  <a:graphicData uri="http://schemas.microsoft.com/office/word/2010/wordprocessingShape">
                    <wps:wsp>
                      <wps:cNvSpPr txBox="true"/>
                      <wps:spPr>
                        <a:xfrm>
                          <a:off x="883920" y="6724650"/>
                          <a:ext cx="769620" cy="2095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pt;margin-top:20.4pt;height:16.5pt;width:60.6pt;z-index:251772928;mso-width-relative:page;mso-height-relative:page;" fillcolor="#FFFFFF [3201]" filled="t" stroked="t" coordsize="21600,21600" o:gfxdata="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7w2UTtcA&#10;AAAIAQAADwAAAAAAAAABACAAAAA4AAAAZHJzL2Rvd25yZXYueG1sUEsBAhQAFAAAAAgAh07iQPBo&#10;De5DAgAAiAQAAA4AAAAAAAAAAQAgAAAAPAEAAGRycy9lMm9Eb2MueG1sUEsFBgAAAAAGAAYAWQEA&#10;APEFAAAAAA==&#10;">
                <v:fill on="t" focussize="0,0"/>
                <v:stroke weight="0.5pt" color="#FFFFFF [3212]"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-720090</wp:posOffset>
                </wp:positionH>
                <wp:positionV relativeFrom="paragraph">
                  <wp:posOffset>-47625</wp:posOffset>
                </wp:positionV>
                <wp:extent cx="1317625" cy="447040"/>
                <wp:effectExtent l="0" t="0" r="10160" b="15875"/>
                <wp:wrapSquare wrapText="bothSides"/>
                <wp:docPr id="16" name="文本框 16"/>
                <wp:cNvGraphicFramePr/>
                <a:graphic xmlns:a="http://schemas.openxmlformats.org/drawingml/2006/main">
                  <a:graphicData uri="http://schemas.microsoft.com/office/word/2010/wordprocessingShape">
                    <wps:wsp>
                      <wps:cNvSpPr txBox="true"/>
                      <wps:spPr>
                        <a:xfrm rot="5400000">
                          <a:off x="0" y="0"/>
                          <a:ext cx="1317625"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118</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6.7pt;margin-top:-3.75pt;height:35.2pt;width:103.75pt;mso-wrap-distance-bottom:0pt;mso-wrap-distance-left:9pt;mso-wrap-distance-right:9pt;mso-wrap-distance-top:0pt;rotation:5898240f;z-index:251693056;mso-width-relative:page;mso-height-relative:page;" fillcolor="#FFFFFF [3201]" filled="t" stroked="f" coordsize="21600,21600" o:gfxdata="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Dl&#10;6P4t2wAAAAkBAAAPAAAAAAAAAAEAIAAAADgAAABkcnMvZG93bnJldi54bWxQSwECFAAUAAAACACH&#10;TuJA6oMkLkQCAABjBAAADgAAAAAAAAABACAAAABAAQAAZHJzL2Uyb0RvYy54bWxQSwUGAAAAAAYA&#10;BgBZAQAA9gUAAAAA&#10;">
                <v:fill on="t" focussize="0,0"/>
                <v:stroke on="f" weight="0.5pt"/>
                <v:imagedata o:title=""/>
                <o:lock v:ext="edit" aspectratio="f"/>
                <v:textbo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118</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w10:wrap type="square"/>
              </v:shape>
            </w:pict>
          </mc:Fallback>
        </mc:AlternateConten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153035</wp:posOffset>
            </wp:positionH>
            <wp:positionV relativeFrom="paragraph">
              <wp:posOffset>144780</wp:posOffset>
            </wp:positionV>
            <wp:extent cx="8653145" cy="5331460"/>
            <wp:effectExtent l="0" t="0" r="14605" b="2540"/>
            <wp:wrapSquare wrapText="bothSides"/>
            <wp:docPr id="5" name="图片 5" descr="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true"/>
                    </pic:cNvPicPr>
                  </pic:nvPicPr>
                  <pic:blipFill>
                    <a:blip r:embed="rId28"/>
                    <a:srcRect l="193" t="-413" r="2157" b="1438"/>
                    <a:stretch>
                      <a:fillRect/>
                    </a:stretch>
                  </pic:blipFill>
                  <pic:spPr>
                    <a:xfrm>
                      <a:off x="0" y="0"/>
                      <a:ext cx="8653145" cy="5331460"/>
                    </a:xfrm>
                    <a:prstGeom prst="rect">
                      <a:avLst/>
                    </a:prstGeom>
                  </pic:spPr>
                </pic:pic>
              </a:graphicData>
            </a:graphic>
          </wp:anchor>
        </w:drawing>
      </w:r>
      <w:r>
        <w:rPr>
          <w:rFonts w:ascii="Times New Roman" w:hAnsi="Times New Roman" w:cs="Times New Roman"/>
          <w:color w:val="000000" w:themeColor="text1"/>
          <w:sz w:val="24"/>
          <w:szCs w:val="21"/>
          <w:highlight w:val="none"/>
          <w14:textFill>
            <w14:solidFill>
              <w14:schemeClr w14:val="tx1"/>
            </w14:solidFill>
          </w14:textFill>
        </w:rPr>
        <w:br w:type="textWrapping" w:clear="all"/>
      </w:r>
      <w:r>
        <w:rPr>
          <w:sz w:val="24"/>
        </w:rPr>
        <mc:AlternateContent>
          <mc:Choice Requires="wps">
            <w:drawing>
              <wp:anchor distT="0" distB="0" distL="114300" distR="114300" simplePos="0" relativeHeight="251771904" behindDoc="0" locked="0" layoutInCell="1" allowOverlap="1">
                <wp:simplePos x="0" y="0"/>
                <wp:positionH relativeFrom="column">
                  <wp:posOffset>8065770</wp:posOffset>
                </wp:positionH>
                <wp:positionV relativeFrom="paragraph">
                  <wp:posOffset>85725</wp:posOffset>
                </wp:positionV>
                <wp:extent cx="923290" cy="271145"/>
                <wp:effectExtent l="4445" t="4445" r="5715" b="10160"/>
                <wp:wrapNone/>
                <wp:docPr id="28" name="文本框 28"/>
                <wp:cNvGraphicFramePr/>
                <a:graphic xmlns:a="http://schemas.openxmlformats.org/drawingml/2006/main">
                  <a:graphicData uri="http://schemas.microsoft.com/office/word/2010/wordprocessingShape">
                    <wps:wsp>
                      <wps:cNvSpPr txBox="true"/>
                      <wps:spPr>
                        <a:xfrm>
                          <a:off x="8980170" y="6678295"/>
                          <a:ext cx="923290" cy="27114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35.1pt;margin-top:6.75pt;height:21.35pt;width:72.7pt;z-index:251771904;mso-width-relative:page;mso-height-relative:page;" fillcolor="#FFFFFF [3201]" filled="t" stroked="t" coordsize="21600,21600" o:gfxdata="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HkXKerYAAAACwEAAA8AAAAAAAAAAQAgAAAAOAAAAGRycy9kb3ducmV2LnhtbFBLAQIUABQA&#10;AAAIAIdO4kCpoZoYTAIAAIkEAAAOAAAAAAAAAAEAIAAAAD0BAABkcnMvZTJvRG9jLnhtbFBLBQYA&#10;AAAABgAGAFkBAAD7BQAAAAA=&#10;">
                <v:fill on="t" focussize="0,0"/>
                <v:stroke weight="0.5pt" color="#FFFFFF [3212]"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-731520</wp:posOffset>
                </wp:positionH>
                <wp:positionV relativeFrom="paragraph">
                  <wp:posOffset>4787265</wp:posOffset>
                </wp:positionV>
                <wp:extent cx="1317625" cy="447040"/>
                <wp:effectExtent l="0" t="0" r="10160" b="15875"/>
                <wp:wrapSquare wrapText="bothSides"/>
                <wp:docPr id="17" name="文本框 17"/>
                <wp:cNvGraphicFramePr/>
                <a:graphic xmlns:a="http://schemas.openxmlformats.org/drawingml/2006/main">
                  <a:graphicData uri="http://schemas.microsoft.com/office/word/2010/wordprocessingShape">
                    <wps:wsp>
                      <wps:cNvSpPr txBox="true"/>
                      <wps:spPr>
                        <a:xfrm rot="5400000">
                          <a:off x="0" y="0"/>
                          <a:ext cx="1317625"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119</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7.6pt;margin-top:376.95pt;height:35.2pt;width:103.75pt;mso-wrap-distance-bottom:0pt;mso-wrap-distance-left:9pt;mso-wrap-distance-right:9pt;mso-wrap-distance-top:0pt;rotation:5898240f;z-index:251702272;mso-width-relative:page;mso-height-relative:page;" fillcolor="#FFFFFF [3201]" filled="t" stroked="f" coordsize="21600,21600" o:gfxdata="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H3zTbXdAAAACwEAAA8AAAAAAAAAAQAgAAAAOAAAAGRycy9kb3ducmV2LnhtbFBLAQIUABQAAAAI&#10;AIdO4kAFvvbaRAIAAGMEAAAOAAAAAAAAAAEAIAAAAEIBAABkcnMvZTJvRG9jLnhtbFBLBQYAAAAA&#10;BgAGAFkBAAD4BQAAAAA=&#10;">
                <v:fill on="t" focussize="0,0"/>
                <v:stroke on="f" weight="0.5pt"/>
                <v:imagedata o:title=""/>
                <o:lock v:ext="edit" aspectratio="f"/>
                <v:textbo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119</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w10:wrap type="square"/>
              </v:shape>
            </w:pict>
          </mc:Fallback>
        </mc:AlternateConten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drawing>
          <wp:anchor distT="0" distB="0" distL="114300" distR="114300" simplePos="0" relativeHeight="251703296" behindDoc="0" locked="0" layoutInCell="1" allowOverlap="1">
            <wp:simplePos x="0" y="0"/>
            <wp:positionH relativeFrom="column">
              <wp:posOffset>182245</wp:posOffset>
            </wp:positionH>
            <wp:positionV relativeFrom="paragraph">
              <wp:posOffset>6350</wp:posOffset>
            </wp:positionV>
            <wp:extent cx="8651875" cy="5438140"/>
            <wp:effectExtent l="0" t="0" r="15875" b="10160"/>
            <wp:wrapSquare wrapText="bothSides"/>
            <wp:docPr id="6" name="图片 6" descr="图片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true"/>
                    </pic:cNvPicPr>
                  </pic:nvPicPr>
                  <pic:blipFill>
                    <a:blip r:embed="rId29"/>
                    <a:srcRect r="2337" b="-152"/>
                    <a:stretch>
                      <a:fillRect/>
                    </a:stretch>
                  </pic:blipFill>
                  <pic:spPr>
                    <a:xfrm>
                      <a:off x="0" y="0"/>
                      <a:ext cx="8651875" cy="5438140"/>
                    </a:xfrm>
                    <a:prstGeom prst="rect">
                      <a:avLst/>
                    </a:prstGeom>
                  </pic:spPr>
                </pic:pic>
              </a:graphicData>
            </a:graphic>
          </wp:anchor>
        </w:drawing>
      </w:r>
    </w:p>
    <w:p>
      <w:pPr>
        <w:spacing w:line="240" w:lineRule="auto"/>
        <w:ind w:firstLine="480"/>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pPr>
      <w:r>
        <w:rPr>
          <w:sz w:val="24"/>
        </w:rPr>
        <mc:AlternateContent>
          <mc:Choice Requires="wps">
            <w:drawing>
              <wp:anchor distT="0" distB="0" distL="114300" distR="114300" simplePos="0" relativeHeight="251770880" behindDoc="0" locked="0" layoutInCell="1" allowOverlap="1">
                <wp:simplePos x="0" y="0"/>
                <wp:positionH relativeFrom="column">
                  <wp:posOffset>-52070</wp:posOffset>
                </wp:positionH>
                <wp:positionV relativeFrom="paragraph">
                  <wp:posOffset>238125</wp:posOffset>
                </wp:positionV>
                <wp:extent cx="732790" cy="336550"/>
                <wp:effectExtent l="4445" t="4445" r="5715" b="20955"/>
                <wp:wrapNone/>
                <wp:docPr id="27" name="文本框 27"/>
                <wp:cNvGraphicFramePr/>
                <a:graphic xmlns:a="http://schemas.openxmlformats.org/drawingml/2006/main">
                  <a:graphicData uri="http://schemas.microsoft.com/office/word/2010/wordprocessingShape">
                    <wps:wsp>
                      <wps:cNvSpPr txBox="true"/>
                      <wps:spPr>
                        <a:xfrm>
                          <a:off x="862330" y="6669405"/>
                          <a:ext cx="732790" cy="3365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1pt;margin-top:18.75pt;height:26.5pt;width:57.7pt;z-index:251770880;mso-width-relative:page;mso-height-relative:page;" fillcolor="#FFFFFF [3201]" filled="t" stroked="t" coordsize="21600,21600" o:gfxdata="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SkOV&#10;BdcAAAAIAQAADwAAAAAAAAABACAAAAA4AAAAZHJzL2Rvd25yZXYueG1sUEsBAhQAFAAAAAgAh07i&#10;QOYck1ZGAgAAiAQAAA4AAAAAAAAAAQAgAAAAPAEAAGRycy9lMm9Eb2MueG1sUEsFBgAAAAAGAAYA&#10;WQEAAPQFAAAAAA==&#10;">
                <v:fill on="t" focussize="0,0"/>
                <v:stroke weight="0.5pt" color="#FFFFFF [3212]"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-678815</wp:posOffset>
                </wp:positionH>
                <wp:positionV relativeFrom="paragraph">
                  <wp:posOffset>-4445</wp:posOffset>
                </wp:positionV>
                <wp:extent cx="1317625" cy="447040"/>
                <wp:effectExtent l="0" t="0" r="10160" b="15875"/>
                <wp:wrapSquare wrapText="bothSides"/>
                <wp:docPr id="18" name="文本框 18"/>
                <wp:cNvGraphicFramePr/>
                <a:graphic xmlns:a="http://schemas.openxmlformats.org/drawingml/2006/main">
                  <a:graphicData uri="http://schemas.microsoft.com/office/word/2010/wordprocessingShape">
                    <wps:wsp>
                      <wps:cNvSpPr txBox="true"/>
                      <wps:spPr>
                        <a:xfrm rot="5400000">
                          <a:off x="0" y="0"/>
                          <a:ext cx="1317625"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120</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3.45pt;margin-top:-0.35pt;height:35.2pt;width:103.75pt;mso-wrap-distance-bottom:0pt;mso-wrap-distance-left:9pt;mso-wrap-distance-right:9pt;mso-wrap-distance-top:0pt;rotation:5898240f;z-index:251712512;mso-width-relative:page;mso-height-relative:page;" fillcolor="#FFFFFF [3201]" filled="t" stroked="f" coordsize="21600,21600" o:gfxdata="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MbSH63Y&#10;AAAACQEAAA8AAAAAAAAAAQAgAAAAOAAAAGRycy9kb3ducmV2LnhtbFBLAQIUABQAAAAIAIdO4kA3&#10;8w6yQwIAAGMEAAAOAAAAAAAAAAEAIAAAAD0BAABkcnMvZTJvRG9jLnhtbFBLBQYAAAAABgAGAFkB&#10;AADyBQAAAAA=&#10;">
                <v:fill on="t" focussize="0,0"/>
                <v:stroke on="f" weight="0.5pt"/>
                <v:imagedata o:title=""/>
                <o:lock v:ext="edit" aspectratio="f"/>
                <v:textbo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120</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w10:wrap type="square"/>
              </v:shape>
            </w:pict>
          </mc:Fallback>
        </mc:AlternateConten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151130</wp:posOffset>
            </wp:positionH>
            <wp:positionV relativeFrom="paragraph">
              <wp:posOffset>163195</wp:posOffset>
            </wp:positionV>
            <wp:extent cx="8647430" cy="5108575"/>
            <wp:effectExtent l="0" t="0" r="1270" b="15875"/>
            <wp:wrapSquare wrapText="bothSides"/>
            <wp:docPr id="7" name="图片 7" descr="图片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true"/>
                    </pic:cNvPicPr>
                  </pic:nvPicPr>
                  <pic:blipFill>
                    <a:blip r:embed="rId30"/>
                    <a:srcRect r="2387" b="1722"/>
                    <a:stretch>
                      <a:fillRect/>
                    </a:stretch>
                  </pic:blipFill>
                  <pic:spPr>
                    <a:xfrm>
                      <a:off x="0" y="0"/>
                      <a:ext cx="8647430" cy="5108575"/>
                    </a:xfrm>
                    <a:prstGeom prst="rect">
                      <a:avLst/>
                    </a:prstGeom>
                  </pic:spPr>
                </pic:pic>
              </a:graphicData>
            </a:graphic>
          </wp:anchor>
        </w:drawing>
      </w:r>
    </w:p>
    <w:p>
      <w:pPr>
        <w:spacing w:line="240" w:lineRule="auto"/>
        <w:ind w:firstLine="480"/>
        <w:rPr>
          <w:rFonts w:ascii="Times New Roman" w:hAnsi="Times New Roman" w:cs="Times New Roman"/>
          <w:color w:val="000000" w:themeColor="text1"/>
          <w:sz w:val="24"/>
          <w:szCs w:val="21"/>
          <w:highlight w:val="none"/>
          <w14:textFill>
            <w14:solidFill>
              <w14:schemeClr w14:val="tx1"/>
            </w14:solidFill>
          </w14:textFill>
        </w:rPr>
      </w:pPr>
      <w:r>
        <w:rPr>
          <w:sz w:val="24"/>
        </w:rPr>
        <mc:AlternateContent>
          <mc:Choice Requires="wps">
            <w:drawing>
              <wp:anchor distT="0" distB="0" distL="114300" distR="114300" simplePos="0" relativeHeight="251768832" behindDoc="0" locked="0" layoutInCell="1" allowOverlap="1">
                <wp:simplePos x="0" y="0"/>
                <wp:positionH relativeFrom="column">
                  <wp:posOffset>-696595</wp:posOffset>
                </wp:positionH>
                <wp:positionV relativeFrom="paragraph">
                  <wp:posOffset>4810760</wp:posOffset>
                </wp:positionV>
                <wp:extent cx="1317625" cy="447040"/>
                <wp:effectExtent l="0" t="0" r="10160" b="15875"/>
                <wp:wrapSquare wrapText="bothSides"/>
                <wp:docPr id="21" name="文本框 21"/>
                <wp:cNvGraphicFramePr/>
                <a:graphic xmlns:a="http://schemas.openxmlformats.org/drawingml/2006/main">
                  <a:graphicData uri="http://schemas.microsoft.com/office/word/2010/wordprocessingShape">
                    <wps:wsp>
                      <wps:cNvSpPr txBox="true"/>
                      <wps:spPr>
                        <a:xfrm rot="5400000">
                          <a:off x="0" y="0"/>
                          <a:ext cx="1317625"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121</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4.85pt;margin-top:378.8pt;height:35.2pt;width:103.75pt;mso-wrap-distance-bottom:0pt;mso-wrap-distance-left:9pt;mso-wrap-distance-right:9pt;mso-wrap-distance-top:0pt;rotation:5898240f;z-index:251768832;mso-width-relative:page;mso-height-relative:page;" fillcolor="#FFFFFF [3201]" filled="t" stroked="f" coordsize="21600,21600" o:gfxdata="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DDoq/ncAAAACwEAAA8AAAAAAAAAAQAgAAAAOAAAAGRycy9kb3ducmV2LnhtbFBLAQIUABQAAAAI&#10;AIdO4kDYTkrdRQIAAGMEAAAOAAAAAAAAAAEAIAAAAEEBAABkcnMvZTJvRG9jLnhtbFBLBQYAAAAA&#10;BgAGAFkBAAD4BQAAAAA=&#10;">
                <v:fill on="t" focussize="0,0"/>
                <v:stroke on="f" weight="0.5pt"/>
                <v:imagedata o:title=""/>
                <o:lock v:ext="edit" aspectratio="f"/>
                <v:textbo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121</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p/>
                  </w:txbxContent>
                </v:textbox>
                <w10:wrap type="square"/>
              </v:shape>
            </w:pict>
          </mc:Fallback>
        </mc:AlternateConten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290195</wp:posOffset>
            </wp:positionH>
            <wp:positionV relativeFrom="paragraph">
              <wp:posOffset>108585</wp:posOffset>
            </wp:positionV>
            <wp:extent cx="8347710" cy="5075555"/>
            <wp:effectExtent l="0" t="0" r="15240" b="10795"/>
            <wp:wrapSquare wrapText="bothSides"/>
            <wp:docPr id="9" name="图片 9" descr="图片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true"/>
                    </pic:cNvPicPr>
                  </pic:nvPicPr>
                  <pic:blipFill>
                    <a:blip r:embed="rId31"/>
                    <a:srcRect r="2166" b="2190"/>
                    <a:stretch>
                      <a:fillRect/>
                    </a:stretch>
                  </pic:blipFill>
                  <pic:spPr>
                    <a:xfrm>
                      <a:off x="0" y="0"/>
                      <a:ext cx="8347710" cy="5075555"/>
                    </a:xfrm>
                    <a:prstGeom prst="rect">
                      <a:avLst/>
                    </a:prstGeom>
                  </pic:spPr>
                </pic:pic>
              </a:graphicData>
            </a:graphic>
          </wp:anchor>
        </w:drawing>
      </w:r>
    </w:p>
    <w:p>
      <w:pPr>
        <w:tabs>
          <w:tab w:val="left" w:pos="1837"/>
        </w:tabs>
        <w:ind w:firstLine="0" w:firstLineChars="0"/>
        <w:rPr>
          <w:rFonts w:ascii="Times New Roman" w:hAnsi="Times New Roman" w:cs="Times New Roman"/>
          <w:color w:val="000000" w:themeColor="text1"/>
          <w:sz w:val="24"/>
          <w:szCs w:val="21"/>
          <w:highlight w:val="none"/>
          <w14:textFill>
            <w14:solidFill>
              <w14:schemeClr w14:val="tx1"/>
            </w14:solidFill>
          </w14:textFill>
        </w:rPr>
        <w:sectPr>
          <w:headerReference r:id="rId19" w:type="first"/>
          <w:footerReference r:id="rId22" w:type="first"/>
          <w:headerReference r:id="rId17" w:type="default"/>
          <w:footerReference r:id="rId20" w:type="default"/>
          <w:headerReference r:id="rId18" w:type="even"/>
          <w:footerReference r:id="rId21" w:type="even"/>
          <w:pgSz w:w="16838" w:h="11906" w:orient="landscape"/>
          <w:pgMar w:top="1800" w:right="1440" w:bottom="1417" w:left="1440" w:header="851" w:footer="964" w:gutter="0"/>
          <w:pgNumType w:fmt="decimal"/>
          <w:cols w:space="425" w:num="1"/>
          <w:docGrid w:type="lines" w:linePitch="381" w:charSpace="0"/>
        </w:sectPr>
      </w:pPr>
      <w:r>
        <w:rPr>
          <w:sz w:val="24"/>
        </w:rPr>
        <mc:AlternateContent>
          <mc:Choice Requires="wps">
            <w:drawing>
              <wp:anchor distT="0" distB="0" distL="114300" distR="114300" simplePos="0" relativeHeight="251769856" behindDoc="0" locked="0" layoutInCell="1" allowOverlap="1">
                <wp:simplePos x="0" y="0"/>
                <wp:positionH relativeFrom="column">
                  <wp:posOffset>7858125</wp:posOffset>
                </wp:positionH>
                <wp:positionV relativeFrom="paragraph">
                  <wp:posOffset>76835</wp:posOffset>
                </wp:positionV>
                <wp:extent cx="732790" cy="351790"/>
                <wp:effectExtent l="4445" t="4445" r="5715" b="5715"/>
                <wp:wrapNone/>
                <wp:docPr id="26" name="文本框 26"/>
                <wp:cNvGraphicFramePr/>
                <a:graphic xmlns:a="http://schemas.openxmlformats.org/drawingml/2006/main">
                  <a:graphicData uri="http://schemas.microsoft.com/office/word/2010/wordprocessingShape">
                    <wps:wsp>
                      <wps:cNvSpPr txBox="true"/>
                      <wps:spPr>
                        <a:xfrm>
                          <a:off x="9083040" y="6657340"/>
                          <a:ext cx="732790" cy="35179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18.75pt;margin-top:6.05pt;height:27.7pt;width:57.7pt;z-index:251769856;mso-width-relative:page;mso-height-relative:page;" fillcolor="#FFFFFF [3201]" filled="t" stroked="t" coordsize="21600,21600" o:gfxdata="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B3&#10;HD+t1wAAAAsBAAAPAAAAAAAAAAEAIAAAADgAAABkcnMvZG93bnJldi54bWxQSwECFAAUAAAACACH&#10;TuJAvll/yUgCAACJBAAADgAAAAAAAAABACAAAAA8AQAAZHJzL2Uyb0RvYy54bWxQSwUGAAAAAAYA&#10;BgBZAQAA9gUAAAAA&#10;">
                <v:fill on="t" focussize="0,0"/>
                <v:stroke weight="0.5pt" color="#FFFFFF [3212]" joinstyle="round"/>
                <v:imagedata o:title=""/>
                <o:lock v:ext="edit" aspectratio="f"/>
                <v:textbox>
                  <w:txbxContent>
                    <w:p/>
                  </w:txbxContent>
                </v:textbox>
              </v:shape>
            </w:pict>
          </mc:Fallback>
        </mc:AlternateContent>
      </w:r>
    </w:p>
    <w:p>
      <w:pPr>
        <w:tabs>
          <w:tab w:val="left" w:pos="1837"/>
        </w:tabs>
        <w:ind w:firstLine="0" w:firstLineChars="0"/>
        <w:rPr>
          <w:rFonts w:ascii="Times New Roman" w:hAnsi="Times New Roman" w:cs="Times New Roman"/>
          <w:color w:val="000000" w:themeColor="text1"/>
          <w:sz w:val="24"/>
          <w:szCs w:val="21"/>
          <w:highlight w:val="none"/>
          <w14:textFill>
            <w14:solidFill>
              <w14:schemeClr w14:val="tx1"/>
            </w14:solidFill>
          </w14:textFill>
        </w:rPr>
      </w:pPr>
    </w:p>
    <w:p>
      <w:pPr>
        <w:ind w:firstLine="0" w:firstLineChars="0"/>
        <w:rPr>
          <w:rFonts w:ascii="Times New Roman" w:hAnsi="Times New Roman" w:eastAsia="仿宋_GB2312" w:cs="Times New Roman"/>
          <w:color w:val="000000" w:themeColor="text1"/>
          <w:kern w:val="0"/>
          <w:sz w:val="32"/>
          <w:szCs w:val="32"/>
          <w:highlight w:val="none"/>
          <w14:textFill>
            <w14:solidFill>
              <w14:schemeClr w14:val="tx1"/>
            </w14:solidFill>
          </w14:textFill>
        </w:rPr>
      </w:pPr>
    </w:p>
    <w:sectPr>
      <w:footerReference r:id="rId23" w:type="default"/>
      <w:pgSz w:w="11906" w:h="16838"/>
      <w:pgMar w:top="2098" w:right="1531" w:bottom="1531" w:left="1531" w:header="851" w:footer="454" w:gutter="0"/>
      <w:pgNumType w:fmt="decimal"/>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E0002A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汉仪大黑简">
    <w:panose1 w:val="02010600000101010101"/>
    <w:charset w:val="86"/>
    <w:family w:val="auto"/>
    <w:pitch w:val="default"/>
    <w:sig w:usb0="00000001" w:usb1="080E0800" w:usb2="00000002" w:usb3="00000000" w:csb0="00040000" w:csb1="00000000"/>
  </w:font>
  <w:font w:name="楷体">
    <w:panose1 w:val="02010609060101010101"/>
    <w:charset w:val="86"/>
    <w:family w:val="modern"/>
    <w:pitch w:val="default"/>
    <w:sig w:usb0="800002BF" w:usb1="38CF7CFA"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560"/>
    </w:pPr>
    <w:r>
      <w:rPr>
        <w:sz w:val="28"/>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-190500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ascii="Times New Roman" w:hAnsi="Times New Roman" w:eastAsia="宋体" w:cs="Times New Roman"/>
                              <w:sz w:val="28"/>
                              <w:szCs w:val="28"/>
                              <w:lang w:eastAsia="zh-CN"/>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eastAsia"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15pt;height:144pt;width:144pt;mso-position-horizontal:outside;mso-position-horizontal-relative:margin;mso-wrap-style:none;z-index:251681792;mso-width-relative:page;mso-height-relative:page;" filled="f" stroked="f" coordsize="21600,21600" o:gfxdata="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VpgTtNMAAAAIAQAADwAAAAAAAAABACAAAAA4AAAAZHJzL2Rvd25yZXYueG1sUEsB&#10;AhQAFAAAAAgAh07iQMGCRB0dAgAAKwQAAA4AAAAAAAAAAQAgAAAAOAEAAGRycy9lMm9Eb2MueG1s&#10;UEsFBgAAAAAGAAYAWQEAAMcFAAAAAA==&#10;">
              <v:fill on="f" focussize="0,0"/>
              <v:stroke on="f" weight="0.5pt"/>
              <v:imagedata o:title=""/>
              <o:lock v:ext="edit" aspectratio="f"/>
              <v:textbox inset="0mm,0mm,0mm,0mm" style="mso-fit-shape-to-text:t;">
                <w:txbxContent>
                  <w:p>
                    <w:pPr>
                      <w:pStyle w:val="14"/>
                      <w:ind w:left="0" w:leftChars="0" w:firstLine="0" w:firstLineChars="0"/>
                      <w:rPr>
                        <w:rFonts w:hint="eastAsia" w:ascii="Times New Roman" w:hAnsi="Times New Roman" w:eastAsia="宋体" w:cs="Times New Roman"/>
                        <w:sz w:val="28"/>
                        <w:szCs w:val="28"/>
                        <w:lang w:eastAsia="zh-CN"/>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eastAsia" w:ascii="Times New Roman" w:hAnsi="Times New Roman" w:cs="Times New Roman"/>
                        <w:sz w:val="28"/>
                        <w:szCs w:val="28"/>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rPr>
        <w:rFonts w:ascii="宋体" w:hAnsi="宋体"/>
      </w:rPr>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eastAsia" w:eastAsia="方正仿宋_GBK"/>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KKh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0CioRwCAAArBAAADgAAAAAAAAABACAAAAA1AQAAZHJzL2Uyb0RvYy54bWxQSwUG&#10;AAAAAAYABgBZAQAAwwUAAAAA&#10;">
              <v:fill on="f" focussize="0,0"/>
              <v:stroke on="f" weight="0.5pt"/>
              <v:imagedata o:title=""/>
              <o:lock v:ext="edit" aspectratio="f"/>
              <v:textbox inset="0mm,0mm,0mm,0mm" style="mso-fit-shape-to-text:t;">
                <w:txbxContent>
                  <w:p>
                    <w:pPr>
                      <w:pStyle w:val="14"/>
                      <w:ind w:left="0" w:leftChars="0" w:firstLine="0" w:firstLineChars="0"/>
                      <w:rPr>
                        <w:rFonts w:hint="eastAsia" w:eastAsia="方正仿宋_GBK"/>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p>
    <w:pPr>
      <w:spacing w:line="1" w:lineRule="exact"/>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pPr>
    <w:r>
      <mc:AlternateContent>
        <mc:Choice Requires="wps">
          <w:drawing>
            <wp:anchor distT="0" distB="0" distL="0" distR="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9" name="文本框 2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100</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txbxContent>
                    </wps:txbx>
                    <wps:bodyPr vert="horz" wrap="none" lIns="0" tIns="0" rIns="0" bIns="0" anchor="t">
                      <a:spAutoFit/>
                    </wps:bodyPr>
                  </wps:wsp>
                </a:graphicData>
              </a:graphic>
            </wp:anchor>
          </w:drawing>
        </mc:Choice>
        <mc:Fallback>
          <w:pict>
            <v:rect id="文本框 20" o:spid="_x0000_s1026" o:spt="1" style="position:absolute;left:0pt;margin-top:0pt;height:144pt;width:144pt;mso-position-horizontal:outside;mso-position-horizontal-relative:margin;mso-wrap-style:none;z-index:251676672;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uXW5UtAAAAAFAQAADwAAAAAAAAABACAAAAA4AAAAZHJzL2Rvd25yZXYueG1sUEsB&#10;AhQAFAAAAAgAh07iQEAira+uAQAARQMAAA4AAAAAAAAAAQAgAAAANQEAAGRycy9lMm9Eb2MueG1s&#10;UEsFBgAAAAAGAAYAWQEAAFUFAAAAAA==&#10;">
              <v:fill on="f" focussize="0,0"/>
              <v:stroke on="f"/>
              <v:imagedata o:title=""/>
              <o:lock v:ext="edit" aspectratio="f"/>
              <v:textbox inset="0mm,0mm,0mm,0mm" style="mso-fit-shape-to-text:t;">
                <w:txbxContent>
                  <w:p>
                    <w:pPr>
                      <w:pStyle w:val="14"/>
                      <w:ind w:left="0" w:leftChars="0" w:firstLine="0" w:firstLineChars="0"/>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100</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0" distR="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ind w:firstLine="360"/>
                          </w:pPr>
                          <w:r>
                            <w:fldChar w:fldCharType="begin"/>
                          </w:r>
                          <w:r>
                            <w:instrText xml:space="preserve"> PAGE  \* MERGEFORMAT </w:instrText>
                          </w:r>
                          <w:r>
                            <w:fldChar w:fldCharType="separate"/>
                          </w:r>
                          <w:r>
                            <w:t>- 146 -</w:t>
                          </w:r>
                          <w:r>
                            <w:fldChar w:fldCharType="end"/>
                          </w:r>
                        </w:p>
                      </w:txbxContent>
                    </wps:txbx>
                    <wps:bodyPr vert="horz" wrap="none" lIns="0" tIns="0" rIns="0" bIns="0" anchor="t">
                      <a:spAutoFit/>
                    </wps:bodyPr>
                  </wps:wsp>
                </a:graphicData>
              </a:graphic>
            </wp:anchor>
          </w:drawing>
        </mc:Choice>
        <mc:Fallback>
          <w:pict>
            <v:rect id="文本框 19" o:spid="_x0000_s1026" o:spt="1" style="position:absolute;left:0pt;margin-top:0pt;height:144pt;width:144pt;mso-position-horizontal:outside;mso-position-horizontal-relative:margin;mso-wrap-style:none;z-index:251675648;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WAAAAZHJzL1BLAQIU&#10;ABQAAAAIAIdO4kC5dblS0AAAAAUBAAAPAAAAAAAAAAEAIAAAADgAAABkcnMvZG93bnJldi54bWxQ&#10;SwECFAAUAAAACACHTuJAio/X8LABAABFAwAADgAAAAAAAAABACAAAAA1AQAAZHJzL2Uyb0RvYy54&#10;bWxQSwUGAAAAAAYABgBZAQAAVwUAAAAA&#10;">
              <v:fill on="f" focussize="0,0"/>
              <v:stroke on="f"/>
              <v:imagedata o:title=""/>
              <o:lock v:ext="edit" aspectratio="f"/>
              <v:textbox inset="0mm,0mm,0mm,0mm" style="mso-fit-shape-to-text:t;">
                <w:txbxContent>
                  <w:p>
                    <w:pPr>
                      <w:pStyle w:val="14"/>
                      <w:ind w:firstLine="360"/>
                    </w:pPr>
                    <w:r>
                      <w:fldChar w:fldCharType="begin"/>
                    </w:r>
                    <w:r>
                      <w:instrText xml:space="preserve"> PAGE  \* MERGEFORMAT </w:instrText>
                    </w:r>
                    <w:r>
                      <w:fldChar w:fldCharType="separate"/>
                    </w:r>
                    <w:r>
                      <w:t>- 146 -</w:t>
                    </w:r>
                    <w:r>
                      <w:fldChar w:fldCharType="end"/>
                    </w:r>
                  </w:p>
                </w:txbxContent>
              </v:textbox>
            </v:rect>
          </w:pict>
        </mc:Fallback>
      </mc:AlternateContent>
    </w:r>
  </w:p>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pPr>
    <w:r>
      <w:fldChar w:fldCharType="begin"/>
    </w:r>
    <w:r>
      <w:instrText xml:space="preserve">PAGE   \* MERGEFORMAT</w:instrText>
    </w:r>
    <w:r>
      <w:fldChar w:fldCharType="separate"/>
    </w:r>
    <w:r>
      <w:rPr>
        <w:lang w:val="zh-CN"/>
      </w:rPr>
      <w:t>2</w:t>
    </w:r>
    <w:r>
      <w:fldChar w:fldCharType="end"/>
    </w:r>
  </w:p>
  <w:p>
    <w:pPr>
      <w:pStyle w:val="1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rPr>
        <w:rFonts w:ascii="宋体" w:hAnsi="宋体"/>
      </w:rPr>
    </w:pPr>
    <w:r>
      <w:rPr>
        <w:sz w:val="18"/>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115</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p>
                    <w:pPr>
                      <w:pStyle w:val="14"/>
                      <w:rPr>
                        <w:rFonts w:hint="eastAsia"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115</w:t>
                    </w:r>
                    <w:r>
                      <w:rPr>
                        <w:rFonts w:hint="default" w:ascii="Times New Roman" w:hAnsi="Times New Roman" w:eastAsia="方正仿宋_GBK" w:cs="Times New Roman"/>
                        <w:sz w:val="28"/>
                        <w:szCs w:val="28"/>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00"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txbxContent>
                    </wps:txbx>
                    <wps:bodyPr vert="horz" wrap="none" lIns="0" tIns="0" rIns="0" bIns="0" anchor="t">
                      <a:spAutoFit/>
                    </wps:bodyPr>
                  </wps:wsp>
                </a:graphicData>
              </a:graphic>
            </wp:anchor>
          </w:drawing>
        </mc:Choice>
        <mc:Fallback>
          <w:pict>
            <v:rect id="文本框 7" o:spid="_x0000_s1026" o:spt="1"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uXW5UtAAAAAFAQAADwAAAAAAAAABACAAAAA4AAAAZHJzL2Rvd25yZXYueG1sUEsB&#10;AhQAFAAAAAgAh07iQIYSJIOuAQAARAMAAA4AAAAAAAAAAQAgAAAANQEAAGRycy9lMm9Eb2MueG1s&#10;UEsFBgAAAAAGAAYAWQEAAFUFAAAAAA==&#10;">
              <v:fill on="f" focussize="0,0"/>
              <v:stroke on="f"/>
              <v:imagedata o:title=""/>
              <o:lock v:ext="edit" aspectratio="f"/>
              <v:textbox inset="0mm,0mm,0mm,0mm" style="mso-fit-shape-to-text:t;">
                <w:txbxContent>
                  <w:p/>
                </w:txbxContent>
              </v:textbox>
            </v:rect>
          </w:pict>
        </mc:Fallback>
      </mc:AlternateContent>
    </w:r>
  </w:p>
  <w:p>
    <w:pPr>
      <w:spacing w:line="1" w:lineRule="exact"/>
      <w:ind w:firstLine="5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656"/>
        <w:tab w:val="clear" w:pos="4153"/>
      </w:tabs>
      <w:ind w:left="0" w:leftChars="0" w:firstLine="0" w:firstLineChars="0"/>
      <w:rPr>
        <w:rFonts w:hint="default"/>
        <w:lang w:val="en-US"/>
      </w:rPr>
    </w:pPr>
    <w:r>
      <w:rPr>
        <w:sz w:val="18"/>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default"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lang w:eastAsia="zh-CN"/>
                            </w:rPr>
                            <w:fldChar w:fldCharType="begin"/>
                          </w:r>
                          <w:r>
                            <w:rPr>
                              <w:rFonts w:hint="default" w:ascii="Times New Roman" w:hAnsi="Times New Roman" w:eastAsia="方正仿宋_GBK" w:cs="Times New Roman"/>
                              <w:sz w:val="28"/>
                              <w:szCs w:val="28"/>
                              <w:lang w:eastAsia="zh-CN"/>
                            </w:rPr>
                            <w:instrText xml:space="preserve"> PAGE  \* MERGEFORMAT </w:instrText>
                          </w:r>
                          <w:r>
                            <w:rPr>
                              <w:rFonts w:hint="default" w:ascii="Times New Roman" w:hAnsi="Times New Roman" w:eastAsia="方正仿宋_GBK" w:cs="Times New Roman"/>
                              <w:sz w:val="28"/>
                              <w:szCs w:val="28"/>
                              <w:lang w:eastAsia="zh-CN"/>
                            </w:rPr>
                            <w:fldChar w:fldCharType="separate"/>
                          </w:r>
                          <w:r>
                            <w:rPr>
                              <w:rFonts w:hint="default" w:ascii="Times New Roman" w:hAnsi="Times New Roman" w:eastAsia="方正仿宋_GBK" w:cs="Times New Roman"/>
                              <w:sz w:val="28"/>
                              <w:szCs w:val="28"/>
                              <w:lang w:eastAsia="zh-CN"/>
                            </w:rPr>
                            <w:t>116</w:t>
                          </w:r>
                          <w:r>
                            <w:rPr>
                              <w:rFonts w:hint="default" w:ascii="Times New Roman" w:hAnsi="Times New Roman" w:eastAsia="方正仿宋_GBK" w:cs="Times New Roman"/>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Hlk5HgIAACs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4o0azBjE7fvp6+/zz9&#10;+ELwBoBa62fw21h4hu6N6Qoa3F4MJo/32HonXRNvNEXgArSPF4RFFwjH43g6mU5zmDhsg4IU2fW7&#10;dT68FaYhUSiowwgTsuyw9uHsOrjEbNqsaqXSGJUmbUFvX9/k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YHlk5HgIAACsEAAAOAAAAAAAAAAEAIAAAADUBAABkcnMvZTJvRG9jLnhtbFBL&#10;BQYAAAAABgAGAFkBAADFBQAAAAA=&#10;">
              <v:fill on="f" focussize="0,0"/>
              <v:stroke on="f" weight="0.5pt"/>
              <v:imagedata o:title=""/>
              <o:lock v:ext="edit" aspectratio="f"/>
              <v:textbox inset="0mm,0mm,0mm,0mm" style="mso-fit-shape-to-text:t;">
                <w:txbxContent>
                  <w:p>
                    <w:pPr>
                      <w:pStyle w:val="14"/>
                      <w:ind w:left="0" w:leftChars="0" w:firstLine="0" w:firstLineChars="0"/>
                      <w:rPr>
                        <w:rFonts w:hint="default" w:ascii="Times New Roman" w:hAnsi="Times New Roman" w:eastAsia="方正仿宋_GBK" w:cs="Times New Roman"/>
                        <w:sz w:val="28"/>
                        <w:szCs w:val="28"/>
                        <w:lang w:eastAsia="zh-CN"/>
                      </w:rPr>
                    </w:pPr>
                    <w:r>
                      <w:rPr>
                        <w:rFonts w:hint="eastAsia" w:asciiTheme="minorEastAsia" w:hAnsiTheme="minorEastAsia" w:eastAsiaTheme="minorEastAsia" w:cstheme="minorEastAsia"/>
                        <w:sz w:val="28"/>
                        <w:szCs w:val="28"/>
                        <w:lang w:eastAsia="zh-CN"/>
                      </w:rPr>
                      <w:t>－</w:t>
                    </w:r>
                    <w:r>
                      <w:rPr>
                        <w:rFonts w:hint="default" w:ascii="Times New Roman" w:hAnsi="Times New Roman" w:eastAsia="方正仿宋_GBK" w:cs="Times New Roman"/>
                        <w:sz w:val="28"/>
                        <w:szCs w:val="28"/>
                        <w:lang w:eastAsia="zh-CN"/>
                      </w:rPr>
                      <w:fldChar w:fldCharType="begin"/>
                    </w:r>
                    <w:r>
                      <w:rPr>
                        <w:rFonts w:hint="default" w:ascii="Times New Roman" w:hAnsi="Times New Roman" w:eastAsia="方正仿宋_GBK" w:cs="Times New Roman"/>
                        <w:sz w:val="28"/>
                        <w:szCs w:val="28"/>
                        <w:lang w:eastAsia="zh-CN"/>
                      </w:rPr>
                      <w:instrText xml:space="preserve"> PAGE  \* MERGEFORMAT </w:instrText>
                    </w:r>
                    <w:r>
                      <w:rPr>
                        <w:rFonts w:hint="default" w:ascii="Times New Roman" w:hAnsi="Times New Roman" w:eastAsia="方正仿宋_GBK" w:cs="Times New Roman"/>
                        <w:sz w:val="28"/>
                        <w:szCs w:val="28"/>
                        <w:lang w:eastAsia="zh-CN"/>
                      </w:rPr>
                      <w:fldChar w:fldCharType="separate"/>
                    </w:r>
                    <w:r>
                      <w:rPr>
                        <w:rFonts w:hint="default" w:ascii="Times New Roman" w:hAnsi="Times New Roman" w:eastAsia="方正仿宋_GBK" w:cs="Times New Roman"/>
                        <w:sz w:val="28"/>
                        <w:szCs w:val="28"/>
                        <w:lang w:eastAsia="zh-CN"/>
                      </w:rPr>
                      <w:t>116</w:t>
                    </w:r>
                    <w:r>
                      <w:rPr>
                        <w:rFonts w:hint="default" w:ascii="Times New Roman" w:hAnsi="Times New Roman" w:eastAsia="方正仿宋_GBK" w:cs="Times New Roman"/>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0" distR="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01" name="文本框 9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ind w:firstLine="360"/>
                          </w:pPr>
                          <w:r>
                            <w:fldChar w:fldCharType="begin"/>
                          </w:r>
                          <w:r>
                            <w:instrText xml:space="preserve"> PAGE  \* MERGEFORMAT </w:instrText>
                          </w:r>
                          <w:r>
                            <w:fldChar w:fldCharType="separate"/>
                          </w:r>
                          <w:r>
                            <w:t>- 146 -</w:t>
                          </w:r>
                          <w:r>
                            <w:fldChar w:fldCharType="end"/>
                          </w:r>
                        </w:p>
                      </w:txbxContent>
                    </wps:txbx>
                    <wps:bodyPr vert="horz" wrap="none" lIns="0" tIns="0" rIns="0" bIns="0" anchor="t">
                      <a:spAutoFit/>
                    </wps:bodyPr>
                  </wps:wsp>
                </a:graphicData>
              </a:graphic>
            </wp:anchor>
          </w:drawing>
        </mc:Choice>
        <mc:Fallback>
          <w:pict>
            <v:rect id="文本框 90" o:spid="_x0000_s1026" o:spt="1"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BYAAABkcnMvUEsBAhQA&#10;FAAAAAgAh07iQLl1uVLQAAAABQEAAA8AAAAAAAAAAQAgAAAAOAAAAGRycy9kb3ducmV2LnhtbFBL&#10;AQIUABQAAAAIAIdO4kDbcaN4rwEAAEUDAAAOAAAAAAAAAAEAIAAAADUBAABkcnMvZTJvRG9jLnht&#10;bFBLBQYAAAAABgAGAFkBAABWBQAAAAA=&#10;">
              <v:fill on="f" focussize="0,0"/>
              <v:stroke on="f"/>
              <v:imagedata o:title=""/>
              <o:lock v:ext="edit" aspectratio="f"/>
              <v:textbox inset="0mm,0mm,0mm,0mm" style="mso-fit-shape-to-text:t;">
                <w:txbxContent>
                  <w:p>
                    <w:pPr>
                      <w:pStyle w:val="14"/>
                      <w:ind w:firstLine="360"/>
                    </w:pPr>
                    <w:r>
                      <w:fldChar w:fldCharType="begin"/>
                    </w:r>
                    <w:r>
                      <w:instrText xml:space="preserve"> PAGE  \* MERGEFORMAT </w:instrText>
                    </w:r>
                    <w:r>
                      <w:fldChar w:fldCharType="separate"/>
                    </w:r>
                    <w:r>
                      <w:t>- 146 -</w:t>
                    </w:r>
                    <w:r>
                      <w:fldChar w:fldCharType="end"/>
                    </w:r>
                  </w:p>
                </w:txbxContent>
              </v:textbox>
            </v:rect>
          </w:pict>
        </mc:Fallback>
      </mc:AlternateContent>
    </w:r>
  </w:p>
  <w:p>
    <w:pPr>
      <w:pStyle w:val="14"/>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pPr>
    <w:r>
      <w:fldChar w:fldCharType="begin"/>
    </w:r>
    <w:r>
      <w:instrText xml:space="preserve">PAGE   \* MERGEFORMAT</w:instrText>
    </w:r>
    <w:r>
      <w:fldChar w:fldCharType="separate"/>
    </w:r>
    <w:r>
      <w:rPr>
        <w:lang w:val="zh-CN"/>
      </w:rPr>
      <w:t>2</w:t>
    </w:r>
    <w:r>
      <w:fldChar w:fldCharType="end"/>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BFCDE1"/>
    <w:multiLevelType w:val="singleLevel"/>
    <w:tmpl w:val="B7BFCDE1"/>
    <w:lvl w:ilvl="0" w:tentative="0">
      <w:start w:val="4"/>
      <w:numFmt w:val="decimal"/>
      <w:suff w:val="space"/>
      <w:lvlText w:val="%1."/>
      <w:lvlJc w:val="left"/>
    </w:lvl>
  </w:abstractNum>
  <w:abstractNum w:abstractNumId="1">
    <w:nsid w:val="BFF7A07D"/>
    <w:multiLevelType w:val="singleLevel"/>
    <w:tmpl w:val="BFF7A07D"/>
    <w:lvl w:ilvl="0" w:tentative="0">
      <w:start w:val="3"/>
      <w:numFmt w:val="decimal"/>
      <w:suff w:val="space"/>
      <w:lvlText w:val="%1."/>
      <w:lvlJc w:val="left"/>
    </w:lvl>
  </w:abstractNum>
  <w:abstractNum w:abstractNumId="2">
    <w:nsid w:val="DAFF1147"/>
    <w:multiLevelType w:val="singleLevel"/>
    <w:tmpl w:val="DAFF1147"/>
    <w:lvl w:ilvl="0" w:tentative="0">
      <w:start w:val="3"/>
      <w:numFmt w:val="decimal"/>
      <w:suff w:val="space"/>
      <w:lvlText w:val="%1."/>
      <w:lvlJc w:val="left"/>
    </w:lvl>
  </w:abstractNum>
  <w:abstractNum w:abstractNumId="3">
    <w:nsid w:val="DFF7419C"/>
    <w:multiLevelType w:val="singleLevel"/>
    <w:tmpl w:val="DFF7419C"/>
    <w:lvl w:ilvl="0" w:tentative="0">
      <w:start w:val="2"/>
      <w:numFmt w:val="decimal"/>
      <w:suff w:val="space"/>
      <w:lvlText w:val="%1."/>
      <w:lvlJc w:val="left"/>
    </w:lvl>
  </w:abstractNum>
  <w:abstractNum w:abstractNumId="4">
    <w:nsid w:val="E3DE282F"/>
    <w:multiLevelType w:val="singleLevel"/>
    <w:tmpl w:val="E3DE282F"/>
    <w:lvl w:ilvl="0" w:tentative="0">
      <w:start w:val="2"/>
      <w:numFmt w:val="decimal"/>
      <w:suff w:val="space"/>
      <w:lvlText w:val="%1."/>
      <w:lvlJc w:val="left"/>
    </w:lvl>
  </w:abstractNum>
  <w:abstractNum w:abstractNumId="5">
    <w:nsid w:val="E7BBDF50"/>
    <w:multiLevelType w:val="singleLevel"/>
    <w:tmpl w:val="E7BBDF50"/>
    <w:lvl w:ilvl="0" w:tentative="0">
      <w:start w:val="2"/>
      <w:numFmt w:val="decimal"/>
      <w:suff w:val="space"/>
      <w:lvlText w:val="%1."/>
      <w:lvlJc w:val="left"/>
    </w:lvl>
  </w:abstractNum>
  <w:abstractNum w:abstractNumId="6">
    <w:nsid w:val="EFFB3C55"/>
    <w:multiLevelType w:val="singleLevel"/>
    <w:tmpl w:val="EFFB3C55"/>
    <w:lvl w:ilvl="0" w:tentative="0">
      <w:start w:val="5"/>
      <w:numFmt w:val="decimal"/>
      <w:suff w:val="space"/>
      <w:lvlText w:val="%1."/>
      <w:lvlJc w:val="left"/>
    </w:lvl>
  </w:abstractNum>
  <w:abstractNum w:abstractNumId="7">
    <w:nsid w:val="F3E8C9D5"/>
    <w:multiLevelType w:val="singleLevel"/>
    <w:tmpl w:val="F3E8C9D5"/>
    <w:lvl w:ilvl="0" w:tentative="0">
      <w:start w:val="2"/>
      <w:numFmt w:val="decimal"/>
      <w:suff w:val="space"/>
      <w:lvlText w:val="%1."/>
      <w:lvlJc w:val="left"/>
    </w:lvl>
  </w:abstractNum>
  <w:abstractNum w:abstractNumId="8">
    <w:nsid w:val="2F676C81"/>
    <w:multiLevelType w:val="singleLevel"/>
    <w:tmpl w:val="2F676C81"/>
    <w:lvl w:ilvl="0" w:tentative="0">
      <w:start w:val="3"/>
      <w:numFmt w:val="decimal"/>
      <w:suff w:val="space"/>
      <w:lvlText w:val="%1."/>
      <w:lvlJc w:val="left"/>
    </w:lvl>
  </w:abstractNum>
  <w:abstractNum w:abstractNumId="9">
    <w:nsid w:val="7F5A02D5"/>
    <w:multiLevelType w:val="singleLevel"/>
    <w:tmpl w:val="7F5A02D5"/>
    <w:lvl w:ilvl="0" w:tentative="0">
      <w:start w:val="4"/>
      <w:numFmt w:val="decimal"/>
      <w:suff w:val="space"/>
      <w:lvlText w:val="%1."/>
      <w:lvlJc w:val="left"/>
    </w:lvl>
  </w:abstractNum>
  <w:num w:numId="1">
    <w:abstractNumId w:val="3"/>
  </w:num>
  <w:num w:numId="2">
    <w:abstractNumId w:val="1"/>
  </w:num>
  <w:num w:numId="3">
    <w:abstractNumId w:val="0"/>
  </w:num>
  <w:num w:numId="4">
    <w:abstractNumId w:val="7"/>
  </w:num>
  <w:num w:numId="5">
    <w:abstractNumId w:val="2"/>
  </w:num>
  <w:num w:numId="6">
    <w:abstractNumId w:val="9"/>
  </w:num>
  <w:num w:numId="7">
    <w:abstractNumId w:val="6"/>
  </w:num>
  <w:num w:numId="8">
    <w:abstractNumId w:val="4"/>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embedSystemFonts/>
  <w:bordersDoNotSurroundHeader w:val="false"/>
  <w:bordersDoNotSurroundFooter w:val="false"/>
  <w:documentProtection w:enforcement="0"/>
  <w:defaultTabStop w:val="420"/>
  <w:drawingGridVerticalSpacing w:val="156"/>
  <w:displayHorizontalDrawingGridEvery w:val="1"/>
  <w:displayVerticalDrawingGridEvery w:val="1"/>
  <w:doNotShadeFormData w:val="true"/>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D77"/>
    <w:rsid w:val="00004DB6"/>
    <w:rsid w:val="000054A5"/>
    <w:rsid w:val="0000737B"/>
    <w:rsid w:val="00021E76"/>
    <w:rsid w:val="000322EC"/>
    <w:rsid w:val="000578FE"/>
    <w:rsid w:val="00062B20"/>
    <w:rsid w:val="00066817"/>
    <w:rsid w:val="00067100"/>
    <w:rsid w:val="0007061E"/>
    <w:rsid w:val="00071D03"/>
    <w:rsid w:val="00077EE7"/>
    <w:rsid w:val="000A081E"/>
    <w:rsid w:val="000A17B4"/>
    <w:rsid w:val="000B3D30"/>
    <w:rsid w:val="000B5E7C"/>
    <w:rsid w:val="000C2057"/>
    <w:rsid w:val="000D348C"/>
    <w:rsid w:val="000D374C"/>
    <w:rsid w:val="000D4542"/>
    <w:rsid w:val="000D53FE"/>
    <w:rsid w:val="000E13E7"/>
    <w:rsid w:val="000E7AFA"/>
    <w:rsid w:val="000F146A"/>
    <w:rsid w:val="000F3724"/>
    <w:rsid w:val="00101535"/>
    <w:rsid w:val="00107651"/>
    <w:rsid w:val="00111309"/>
    <w:rsid w:val="00114102"/>
    <w:rsid w:val="00143793"/>
    <w:rsid w:val="0014425D"/>
    <w:rsid w:val="0014615B"/>
    <w:rsid w:val="00147C9D"/>
    <w:rsid w:val="00151FA4"/>
    <w:rsid w:val="001605BE"/>
    <w:rsid w:val="00160D85"/>
    <w:rsid w:val="00161CDC"/>
    <w:rsid w:val="0016756D"/>
    <w:rsid w:val="0017586F"/>
    <w:rsid w:val="001805E0"/>
    <w:rsid w:val="001A4F1B"/>
    <w:rsid w:val="001A74F7"/>
    <w:rsid w:val="001B3DC3"/>
    <w:rsid w:val="001D196A"/>
    <w:rsid w:val="001D3039"/>
    <w:rsid w:val="001D70A4"/>
    <w:rsid w:val="001E57C3"/>
    <w:rsid w:val="001E5AE3"/>
    <w:rsid w:val="001F3EFA"/>
    <w:rsid w:val="001F7309"/>
    <w:rsid w:val="00212FD5"/>
    <w:rsid w:val="002130BD"/>
    <w:rsid w:val="00214259"/>
    <w:rsid w:val="002158D3"/>
    <w:rsid w:val="002437F9"/>
    <w:rsid w:val="00245D11"/>
    <w:rsid w:val="0026198E"/>
    <w:rsid w:val="00271240"/>
    <w:rsid w:val="00271705"/>
    <w:rsid w:val="00276936"/>
    <w:rsid w:val="00292094"/>
    <w:rsid w:val="00295046"/>
    <w:rsid w:val="002B567A"/>
    <w:rsid w:val="002B63C7"/>
    <w:rsid w:val="002C604E"/>
    <w:rsid w:val="002D38E2"/>
    <w:rsid w:val="002E0938"/>
    <w:rsid w:val="002F01E4"/>
    <w:rsid w:val="002F3897"/>
    <w:rsid w:val="002F47DA"/>
    <w:rsid w:val="003049A9"/>
    <w:rsid w:val="00326D2E"/>
    <w:rsid w:val="00326DF1"/>
    <w:rsid w:val="00336D77"/>
    <w:rsid w:val="0035043E"/>
    <w:rsid w:val="00354DA4"/>
    <w:rsid w:val="00362D2E"/>
    <w:rsid w:val="00367EB2"/>
    <w:rsid w:val="00370B6A"/>
    <w:rsid w:val="00371356"/>
    <w:rsid w:val="00382E9D"/>
    <w:rsid w:val="00391D09"/>
    <w:rsid w:val="00392DAD"/>
    <w:rsid w:val="003A1083"/>
    <w:rsid w:val="003A17B5"/>
    <w:rsid w:val="003C3C33"/>
    <w:rsid w:val="003E124D"/>
    <w:rsid w:val="003E188C"/>
    <w:rsid w:val="003E3C16"/>
    <w:rsid w:val="003F3B68"/>
    <w:rsid w:val="00402366"/>
    <w:rsid w:val="0042129A"/>
    <w:rsid w:val="00422DB6"/>
    <w:rsid w:val="00427E63"/>
    <w:rsid w:val="00432FA8"/>
    <w:rsid w:val="00433D90"/>
    <w:rsid w:val="00447546"/>
    <w:rsid w:val="00453A02"/>
    <w:rsid w:val="0046305F"/>
    <w:rsid w:val="00463F2A"/>
    <w:rsid w:val="004710FD"/>
    <w:rsid w:val="00471A14"/>
    <w:rsid w:val="00472206"/>
    <w:rsid w:val="00474435"/>
    <w:rsid w:val="004821DC"/>
    <w:rsid w:val="004A62E6"/>
    <w:rsid w:val="004B23DA"/>
    <w:rsid w:val="004B26E3"/>
    <w:rsid w:val="004C038D"/>
    <w:rsid w:val="004C0DD5"/>
    <w:rsid w:val="004C3086"/>
    <w:rsid w:val="004E66FF"/>
    <w:rsid w:val="004E7D09"/>
    <w:rsid w:val="004F24C8"/>
    <w:rsid w:val="004F5242"/>
    <w:rsid w:val="0050255E"/>
    <w:rsid w:val="00503A87"/>
    <w:rsid w:val="0052449E"/>
    <w:rsid w:val="005628F4"/>
    <w:rsid w:val="0057694C"/>
    <w:rsid w:val="005860E9"/>
    <w:rsid w:val="00592F6D"/>
    <w:rsid w:val="005A2837"/>
    <w:rsid w:val="005B3B92"/>
    <w:rsid w:val="005C306D"/>
    <w:rsid w:val="005C505E"/>
    <w:rsid w:val="005D022B"/>
    <w:rsid w:val="005D181D"/>
    <w:rsid w:val="005F1509"/>
    <w:rsid w:val="00621FEE"/>
    <w:rsid w:val="006229FF"/>
    <w:rsid w:val="006231F5"/>
    <w:rsid w:val="00631368"/>
    <w:rsid w:val="006359D2"/>
    <w:rsid w:val="00646EA9"/>
    <w:rsid w:val="00670628"/>
    <w:rsid w:val="00687547"/>
    <w:rsid w:val="006A381F"/>
    <w:rsid w:val="006D6A7E"/>
    <w:rsid w:val="006F4C79"/>
    <w:rsid w:val="00702D42"/>
    <w:rsid w:val="00723381"/>
    <w:rsid w:val="00732A53"/>
    <w:rsid w:val="00732C1E"/>
    <w:rsid w:val="007332AD"/>
    <w:rsid w:val="0076201A"/>
    <w:rsid w:val="00774994"/>
    <w:rsid w:val="00776308"/>
    <w:rsid w:val="00783849"/>
    <w:rsid w:val="00787062"/>
    <w:rsid w:val="007B1A29"/>
    <w:rsid w:val="007C0FC1"/>
    <w:rsid w:val="007D280E"/>
    <w:rsid w:val="007D41D6"/>
    <w:rsid w:val="007D5446"/>
    <w:rsid w:val="007D6A6B"/>
    <w:rsid w:val="007E0808"/>
    <w:rsid w:val="007E61CB"/>
    <w:rsid w:val="007F353C"/>
    <w:rsid w:val="00800321"/>
    <w:rsid w:val="0080053D"/>
    <w:rsid w:val="00804382"/>
    <w:rsid w:val="008078A5"/>
    <w:rsid w:val="008150CC"/>
    <w:rsid w:val="008173DE"/>
    <w:rsid w:val="00824683"/>
    <w:rsid w:val="00830CE0"/>
    <w:rsid w:val="008422EF"/>
    <w:rsid w:val="008439D9"/>
    <w:rsid w:val="00857B3E"/>
    <w:rsid w:val="00863601"/>
    <w:rsid w:val="00865C77"/>
    <w:rsid w:val="008677D1"/>
    <w:rsid w:val="008B2B4C"/>
    <w:rsid w:val="008B2EB1"/>
    <w:rsid w:val="008B6995"/>
    <w:rsid w:val="008D72C0"/>
    <w:rsid w:val="008D7AC2"/>
    <w:rsid w:val="008E6A0B"/>
    <w:rsid w:val="008F761A"/>
    <w:rsid w:val="009023FA"/>
    <w:rsid w:val="0090480D"/>
    <w:rsid w:val="00942B9C"/>
    <w:rsid w:val="0094680B"/>
    <w:rsid w:val="009474DF"/>
    <w:rsid w:val="00957E5F"/>
    <w:rsid w:val="0096057B"/>
    <w:rsid w:val="0096746E"/>
    <w:rsid w:val="00967526"/>
    <w:rsid w:val="009709C4"/>
    <w:rsid w:val="00986625"/>
    <w:rsid w:val="00992B44"/>
    <w:rsid w:val="009965EF"/>
    <w:rsid w:val="009A3698"/>
    <w:rsid w:val="009A43D0"/>
    <w:rsid w:val="009A5F8D"/>
    <w:rsid w:val="009B2CD7"/>
    <w:rsid w:val="009C0288"/>
    <w:rsid w:val="009C55EE"/>
    <w:rsid w:val="009D3289"/>
    <w:rsid w:val="009E06F1"/>
    <w:rsid w:val="009E2AC3"/>
    <w:rsid w:val="009E4E07"/>
    <w:rsid w:val="009E69B0"/>
    <w:rsid w:val="009E7233"/>
    <w:rsid w:val="009F1420"/>
    <w:rsid w:val="009F386E"/>
    <w:rsid w:val="00A0232C"/>
    <w:rsid w:val="00A037AF"/>
    <w:rsid w:val="00A05E3D"/>
    <w:rsid w:val="00A12411"/>
    <w:rsid w:val="00A26AFF"/>
    <w:rsid w:val="00A3487B"/>
    <w:rsid w:val="00A42E4A"/>
    <w:rsid w:val="00A475FE"/>
    <w:rsid w:val="00A57C66"/>
    <w:rsid w:val="00A67167"/>
    <w:rsid w:val="00A7328D"/>
    <w:rsid w:val="00A76051"/>
    <w:rsid w:val="00A9731E"/>
    <w:rsid w:val="00AA0CA5"/>
    <w:rsid w:val="00AA6F2A"/>
    <w:rsid w:val="00AC1209"/>
    <w:rsid w:val="00AC555F"/>
    <w:rsid w:val="00AE0822"/>
    <w:rsid w:val="00AE13A4"/>
    <w:rsid w:val="00AF3C0B"/>
    <w:rsid w:val="00AF5B27"/>
    <w:rsid w:val="00B053CC"/>
    <w:rsid w:val="00B06746"/>
    <w:rsid w:val="00B23A4C"/>
    <w:rsid w:val="00B42C37"/>
    <w:rsid w:val="00B45F23"/>
    <w:rsid w:val="00B47348"/>
    <w:rsid w:val="00B5723D"/>
    <w:rsid w:val="00B66021"/>
    <w:rsid w:val="00B67B02"/>
    <w:rsid w:val="00B816D7"/>
    <w:rsid w:val="00B95040"/>
    <w:rsid w:val="00B974A2"/>
    <w:rsid w:val="00B97E5A"/>
    <w:rsid w:val="00BA4483"/>
    <w:rsid w:val="00BD083F"/>
    <w:rsid w:val="00BE7D0D"/>
    <w:rsid w:val="00BF0B85"/>
    <w:rsid w:val="00C017F0"/>
    <w:rsid w:val="00C025DB"/>
    <w:rsid w:val="00C027AC"/>
    <w:rsid w:val="00C22B8F"/>
    <w:rsid w:val="00C2541A"/>
    <w:rsid w:val="00C265D5"/>
    <w:rsid w:val="00C267C3"/>
    <w:rsid w:val="00C3159F"/>
    <w:rsid w:val="00C51C1E"/>
    <w:rsid w:val="00C71934"/>
    <w:rsid w:val="00C947D2"/>
    <w:rsid w:val="00C95DDC"/>
    <w:rsid w:val="00CB22B1"/>
    <w:rsid w:val="00CD09E7"/>
    <w:rsid w:val="00CD7400"/>
    <w:rsid w:val="00D02296"/>
    <w:rsid w:val="00D07FE2"/>
    <w:rsid w:val="00D11599"/>
    <w:rsid w:val="00D11AE0"/>
    <w:rsid w:val="00D1435A"/>
    <w:rsid w:val="00D15644"/>
    <w:rsid w:val="00D26053"/>
    <w:rsid w:val="00D27759"/>
    <w:rsid w:val="00D325FC"/>
    <w:rsid w:val="00D44754"/>
    <w:rsid w:val="00D61E02"/>
    <w:rsid w:val="00D665E1"/>
    <w:rsid w:val="00D719AD"/>
    <w:rsid w:val="00D92A8D"/>
    <w:rsid w:val="00DA4832"/>
    <w:rsid w:val="00DA60FB"/>
    <w:rsid w:val="00DB3A6F"/>
    <w:rsid w:val="00E12084"/>
    <w:rsid w:val="00E13E99"/>
    <w:rsid w:val="00E46295"/>
    <w:rsid w:val="00E5309F"/>
    <w:rsid w:val="00E7348F"/>
    <w:rsid w:val="00E77D8F"/>
    <w:rsid w:val="00E81D92"/>
    <w:rsid w:val="00E913D8"/>
    <w:rsid w:val="00E955A5"/>
    <w:rsid w:val="00EA77D5"/>
    <w:rsid w:val="00EC3430"/>
    <w:rsid w:val="00EF3E4A"/>
    <w:rsid w:val="00EF56F3"/>
    <w:rsid w:val="00EF5A87"/>
    <w:rsid w:val="00F0596A"/>
    <w:rsid w:val="00F07584"/>
    <w:rsid w:val="00F50EAF"/>
    <w:rsid w:val="00F63BF2"/>
    <w:rsid w:val="00F63C6C"/>
    <w:rsid w:val="00F64DED"/>
    <w:rsid w:val="00F779A9"/>
    <w:rsid w:val="00F91F77"/>
    <w:rsid w:val="00FA371C"/>
    <w:rsid w:val="00FB33F8"/>
    <w:rsid w:val="00FD5177"/>
    <w:rsid w:val="00FD752E"/>
    <w:rsid w:val="00FE5748"/>
    <w:rsid w:val="01A10446"/>
    <w:rsid w:val="01AD362C"/>
    <w:rsid w:val="01E35E49"/>
    <w:rsid w:val="022012E3"/>
    <w:rsid w:val="02BB0C53"/>
    <w:rsid w:val="030930A0"/>
    <w:rsid w:val="030D1546"/>
    <w:rsid w:val="03144BDE"/>
    <w:rsid w:val="03DE0D9D"/>
    <w:rsid w:val="03EA3029"/>
    <w:rsid w:val="042B6CDD"/>
    <w:rsid w:val="04480715"/>
    <w:rsid w:val="04817B0F"/>
    <w:rsid w:val="04907E41"/>
    <w:rsid w:val="04D173D8"/>
    <w:rsid w:val="04E651CD"/>
    <w:rsid w:val="05A97CE9"/>
    <w:rsid w:val="05B8790C"/>
    <w:rsid w:val="06276AF1"/>
    <w:rsid w:val="07632901"/>
    <w:rsid w:val="07A11723"/>
    <w:rsid w:val="08103541"/>
    <w:rsid w:val="082E4138"/>
    <w:rsid w:val="083B1E93"/>
    <w:rsid w:val="0896621D"/>
    <w:rsid w:val="08B41086"/>
    <w:rsid w:val="08FB75FF"/>
    <w:rsid w:val="08FD32E6"/>
    <w:rsid w:val="09807E55"/>
    <w:rsid w:val="09D45849"/>
    <w:rsid w:val="09FD7969"/>
    <w:rsid w:val="0A16420B"/>
    <w:rsid w:val="0AB503F3"/>
    <w:rsid w:val="0B163537"/>
    <w:rsid w:val="0B271011"/>
    <w:rsid w:val="0B5F699A"/>
    <w:rsid w:val="0B835C50"/>
    <w:rsid w:val="0C2B63B6"/>
    <w:rsid w:val="0C2E0A09"/>
    <w:rsid w:val="0C58164E"/>
    <w:rsid w:val="0C667D6F"/>
    <w:rsid w:val="0C944617"/>
    <w:rsid w:val="0D705C03"/>
    <w:rsid w:val="0DF82377"/>
    <w:rsid w:val="0E123295"/>
    <w:rsid w:val="0E241B88"/>
    <w:rsid w:val="0E4E050C"/>
    <w:rsid w:val="0F0F71FF"/>
    <w:rsid w:val="0F392DC9"/>
    <w:rsid w:val="0FDBB9FB"/>
    <w:rsid w:val="11424C11"/>
    <w:rsid w:val="116B7262"/>
    <w:rsid w:val="11935745"/>
    <w:rsid w:val="11D67BEC"/>
    <w:rsid w:val="120813AC"/>
    <w:rsid w:val="12276E41"/>
    <w:rsid w:val="123202F3"/>
    <w:rsid w:val="12815212"/>
    <w:rsid w:val="12F133AC"/>
    <w:rsid w:val="1416795A"/>
    <w:rsid w:val="141949BB"/>
    <w:rsid w:val="142E30A1"/>
    <w:rsid w:val="14BF43A5"/>
    <w:rsid w:val="15326C2E"/>
    <w:rsid w:val="1581168C"/>
    <w:rsid w:val="15CC644B"/>
    <w:rsid w:val="1623335E"/>
    <w:rsid w:val="162D5DE1"/>
    <w:rsid w:val="16597C54"/>
    <w:rsid w:val="16A16C03"/>
    <w:rsid w:val="16FA65B1"/>
    <w:rsid w:val="17B4431C"/>
    <w:rsid w:val="18095A11"/>
    <w:rsid w:val="183B48B1"/>
    <w:rsid w:val="18D64CF0"/>
    <w:rsid w:val="18E16C10"/>
    <w:rsid w:val="18FF7BA9"/>
    <w:rsid w:val="193C7E95"/>
    <w:rsid w:val="19613AB3"/>
    <w:rsid w:val="19E33B00"/>
    <w:rsid w:val="19EF413F"/>
    <w:rsid w:val="1A5F3078"/>
    <w:rsid w:val="1A635D03"/>
    <w:rsid w:val="1A97B77D"/>
    <w:rsid w:val="1AD31BF7"/>
    <w:rsid w:val="1B142234"/>
    <w:rsid w:val="1B82004F"/>
    <w:rsid w:val="1B972C4A"/>
    <w:rsid w:val="1CC67B51"/>
    <w:rsid w:val="1CDD63E8"/>
    <w:rsid w:val="1CDF299F"/>
    <w:rsid w:val="1D256FD2"/>
    <w:rsid w:val="1D41762C"/>
    <w:rsid w:val="1E590B37"/>
    <w:rsid w:val="1EDA33A5"/>
    <w:rsid w:val="1F323514"/>
    <w:rsid w:val="1F4D518B"/>
    <w:rsid w:val="1F7557D7"/>
    <w:rsid w:val="20311548"/>
    <w:rsid w:val="208E3B34"/>
    <w:rsid w:val="20C273D2"/>
    <w:rsid w:val="214F5968"/>
    <w:rsid w:val="21576292"/>
    <w:rsid w:val="218869D6"/>
    <w:rsid w:val="21D74344"/>
    <w:rsid w:val="22225566"/>
    <w:rsid w:val="22336374"/>
    <w:rsid w:val="22EF7748"/>
    <w:rsid w:val="22F5790A"/>
    <w:rsid w:val="232E3A02"/>
    <w:rsid w:val="23350CF3"/>
    <w:rsid w:val="23C76D11"/>
    <w:rsid w:val="23CF2E8C"/>
    <w:rsid w:val="23D570E4"/>
    <w:rsid w:val="246900CD"/>
    <w:rsid w:val="249E497D"/>
    <w:rsid w:val="25246FCE"/>
    <w:rsid w:val="2547013E"/>
    <w:rsid w:val="25720D11"/>
    <w:rsid w:val="257D124A"/>
    <w:rsid w:val="2658024C"/>
    <w:rsid w:val="26F94835"/>
    <w:rsid w:val="27132AF3"/>
    <w:rsid w:val="28143297"/>
    <w:rsid w:val="28B3451A"/>
    <w:rsid w:val="29927732"/>
    <w:rsid w:val="29BB68EA"/>
    <w:rsid w:val="2A071FD2"/>
    <w:rsid w:val="2AE73115"/>
    <w:rsid w:val="2B3E1F8B"/>
    <w:rsid w:val="2B8F2989"/>
    <w:rsid w:val="2BC7609F"/>
    <w:rsid w:val="2BDEC701"/>
    <w:rsid w:val="2BE54CB1"/>
    <w:rsid w:val="2BFFA328"/>
    <w:rsid w:val="2CA11C88"/>
    <w:rsid w:val="2CC823A0"/>
    <w:rsid w:val="2CDA493A"/>
    <w:rsid w:val="2D0134DA"/>
    <w:rsid w:val="2D2403BE"/>
    <w:rsid w:val="2D2967EE"/>
    <w:rsid w:val="2D33213F"/>
    <w:rsid w:val="2D897DC0"/>
    <w:rsid w:val="2D933990"/>
    <w:rsid w:val="2E030AE4"/>
    <w:rsid w:val="2E2E6058"/>
    <w:rsid w:val="2E301F8B"/>
    <w:rsid w:val="2F1D06DF"/>
    <w:rsid w:val="2F9E6C00"/>
    <w:rsid w:val="2FAD789D"/>
    <w:rsid w:val="2FC952B7"/>
    <w:rsid w:val="2FD2563E"/>
    <w:rsid w:val="2FF7E2CA"/>
    <w:rsid w:val="30286D09"/>
    <w:rsid w:val="306E28C2"/>
    <w:rsid w:val="30CA790F"/>
    <w:rsid w:val="31382F09"/>
    <w:rsid w:val="314E581D"/>
    <w:rsid w:val="323955D7"/>
    <w:rsid w:val="32B51460"/>
    <w:rsid w:val="32E42B21"/>
    <w:rsid w:val="32FF766F"/>
    <w:rsid w:val="338F795B"/>
    <w:rsid w:val="33EB558F"/>
    <w:rsid w:val="345B40FB"/>
    <w:rsid w:val="36271ACE"/>
    <w:rsid w:val="3641768A"/>
    <w:rsid w:val="364A22C9"/>
    <w:rsid w:val="369B0473"/>
    <w:rsid w:val="36A1525D"/>
    <w:rsid w:val="37490CF6"/>
    <w:rsid w:val="37501E81"/>
    <w:rsid w:val="377F1886"/>
    <w:rsid w:val="37DB212C"/>
    <w:rsid w:val="37DF688F"/>
    <w:rsid w:val="37E52C5D"/>
    <w:rsid w:val="37E74232"/>
    <w:rsid w:val="38CB7D82"/>
    <w:rsid w:val="39106D4C"/>
    <w:rsid w:val="399D132A"/>
    <w:rsid w:val="39EE1EC7"/>
    <w:rsid w:val="3A34500B"/>
    <w:rsid w:val="3AD9AA03"/>
    <w:rsid w:val="3AE41660"/>
    <w:rsid w:val="3C171025"/>
    <w:rsid w:val="3C3913D6"/>
    <w:rsid w:val="3C3C47EA"/>
    <w:rsid w:val="3CC65D7B"/>
    <w:rsid w:val="3CD80399"/>
    <w:rsid w:val="3D836465"/>
    <w:rsid w:val="3D866949"/>
    <w:rsid w:val="3D8FAD60"/>
    <w:rsid w:val="3DBD0B9B"/>
    <w:rsid w:val="3DFC66AB"/>
    <w:rsid w:val="3E8B08DE"/>
    <w:rsid w:val="3F445571"/>
    <w:rsid w:val="3F7E58C4"/>
    <w:rsid w:val="3F91333D"/>
    <w:rsid w:val="3FCE2FFD"/>
    <w:rsid w:val="3FF4A1C6"/>
    <w:rsid w:val="42EC6C36"/>
    <w:rsid w:val="43A66CCD"/>
    <w:rsid w:val="44476029"/>
    <w:rsid w:val="44851A82"/>
    <w:rsid w:val="44F0028C"/>
    <w:rsid w:val="460E12CD"/>
    <w:rsid w:val="462022AE"/>
    <w:rsid w:val="468042E0"/>
    <w:rsid w:val="46AB1D40"/>
    <w:rsid w:val="46C353F3"/>
    <w:rsid w:val="46C62DFF"/>
    <w:rsid w:val="46F31E9C"/>
    <w:rsid w:val="470F2C1E"/>
    <w:rsid w:val="472D43A8"/>
    <w:rsid w:val="473B6E75"/>
    <w:rsid w:val="47EF376D"/>
    <w:rsid w:val="47F352DB"/>
    <w:rsid w:val="48393C58"/>
    <w:rsid w:val="48B7088F"/>
    <w:rsid w:val="48C52D48"/>
    <w:rsid w:val="48EB0D58"/>
    <w:rsid w:val="49236EB7"/>
    <w:rsid w:val="4C0D74FB"/>
    <w:rsid w:val="4C6B72A7"/>
    <w:rsid w:val="4C6F00F9"/>
    <w:rsid w:val="4C8B2BCF"/>
    <w:rsid w:val="4CAF3AD1"/>
    <w:rsid w:val="4CD12614"/>
    <w:rsid w:val="4D4916C8"/>
    <w:rsid w:val="4D6B00A0"/>
    <w:rsid w:val="4E340913"/>
    <w:rsid w:val="4ED16991"/>
    <w:rsid w:val="4EEBCB37"/>
    <w:rsid w:val="4F0011AA"/>
    <w:rsid w:val="4F5BBD48"/>
    <w:rsid w:val="4F682033"/>
    <w:rsid w:val="4F736E8C"/>
    <w:rsid w:val="4FA648D6"/>
    <w:rsid w:val="502C25FB"/>
    <w:rsid w:val="50437850"/>
    <w:rsid w:val="50796134"/>
    <w:rsid w:val="509A75AA"/>
    <w:rsid w:val="51699628"/>
    <w:rsid w:val="51951E0C"/>
    <w:rsid w:val="523C5D96"/>
    <w:rsid w:val="52673E7A"/>
    <w:rsid w:val="52F37DD9"/>
    <w:rsid w:val="5368033C"/>
    <w:rsid w:val="53E340DE"/>
    <w:rsid w:val="54472227"/>
    <w:rsid w:val="544F2777"/>
    <w:rsid w:val="550C7A46"/>
    <w:rsid w:val="556F6DA9"/>
    <w:rsid w:val="55942730"/>
    <w:rsid w:val="55E06BD1"/>
    <w:rsid w:val="56173439"/>
    <w:rsid w:val="568329B2"/>
    <w:rsid w:val="56D5232E"/>
    <w:rsid w:val="56F03FA5"/>
    <w:rsid w:val="5770591D"/>
    <w:rsid w:val="57AF0E34"/>
    <w:rsid w:val="58592750"/>
    <w:rsid w:val="58701D1F"/>
    <w:rsid w:val="58E40A18"/>
    <w:rsid w:val="592F6662"/>
    <w:rsid w:val="59B81316"/>
    <w:rsid w:val="59C64DB5"/>
    <w:rsid w:val="59F74B69"/>
    <w:rsid w:val="5A576EE6"/>
    <w:rsid w:val="5A8761F6"/>
    <w:rsid w:val="5A983B06"/>
    <w:rsid w:val="5A9B6A45"/>
    <w:rsid w:val="5ABA6359"/>
    <w:rsid w:val="5B1E4BBC"/>
    <w:rsid w:val="5B6A499C"/>
    <w:rsid w:val="5BE258DD"/>
    <w:rsid w:val="5C5A262C"/>
    <w:rsid w:val="5C5B6108"/>
    <w:rsid w:val="5D081A95"/>
    <w:rsid w:val="5D396049"/>
    <w:rsid w:val="5DB42E18"/>
    <w:rsid w:val="5DF7754C"/>
    <w:rsid w:val="5E417AB9"/>
    <w:rsid w:val="5E5348F8"/>
    <w:rsid w:val="5E855CDF"/>
    <w:rsid w:val="5EF3790D"/>
    <w:rsid w:val="5F16ED79"/>
    <w:rsid w:val="5FEFCD88"/>
    <w:rsid w:val="5FEFE560"/>
    <w:rsid w:val="5FF76CCB"/>
    <w:rsid w:val="5FF98BCA"/>
    <w:rsid w:val="5FFF317F"/>
    <w:rsid w:val="6001744C"/>
    <w:rsid w:val="6120748B"/>
    <w:rsid w:val="61AA16B8"/>
    <w:rsid w:val="61F2100E"/>
    <w:rsid w:val="61FE3733"/>
    <w:rsid w:val="62006D25"/>
    <w:rsid w:val="6202633D"/>
    <w:rsid w:val="62205008"/>
    <w:rsid w:val="623425F2"/>
    <w:rsid w:val="62493688"/>
    <w:rsid w:val="624B79E7"/>
    <w:rsid w:val="62E9D995"/>
    <w:rsid w:val="62FE0F65"/>
    <w:rsid w:val="637FFBA1"/>
    <w:rsid w:val="63A55B44"/>
    <w:rsid w:val="63BF67B8"/>
    <w:rsid w:val="63E51DDD"/>
    <w:rsid w:val="64125D0D"/>
    <w:rsid w:val="64364EDC"/>
    <w:rsid w:val="6476681F"/>
    <w:rsid w:val="64B83834"/>
    <w:rsid w:val="653B13B1"/>
    <w:rsid w:val="65CD4D9D"/>
    <w:rsid w:val="65E01558"/>
    <w:rsid w:val="661904AE"/>
    <w:rsid w:val="66720CB5"/>
    <w:rsid w:val="66C42B8B"/>
    <w:rsid w:val="67492DB2"/>
    <w:rsid w:val="67746DBE"/>
    <w:rsid w:val="67A52537"/>
    <w:rsid w:val="67ED4557"/>
    <w:rsid w:val="68054AEB"/>
    <w:rsid w:val="685D1758"/>
    <w:rsid w:val="685D7DC3"/>
    <w:rsid w:val="68802B52"/>
    <w:rsid w:val="68AD10FA"/>
    <w:rsid w:val="69976F5A"/>
    <w:rsid w:val="69DF563B"/>
    <w:rsid w:val="69FF13EC"/>
    <w:rsid w:val="6A55213F"/>
    <w:rsid w:val="6AF11721"/>
    <w:rsid w:val="6B1D444C"/>
    <w:rsid w:val="6B281C87"/>
    <w:rsid w:val="6B464E66"/>
    <w:rsid w:val="6B6B4B57"/>
    <w:rsid w:val="6BFEDCAB"/>
    <w:rsid w:val="6C5F591A"/>
    <w:rsid w:val="6CAA598A"/>
    <w:rsid w:val="6CDD63A4"/>
    <w:rsid w:val="6D207600"/>
    <w:rsid w:val="6D6E276D"/>
    <w:rsid w:val="6DB760B8"/>
    <w:rsid w:val="6DD42B0D"/>
    <w:rsid w:val="6DF983D7"/>
    <w:rsid w:val="6E0461A5"/>
    <w:rsid w:val="6E157CC3"/>
    <w:rsid w:val="6EF64845"/>
    <w:rsid w:val="6EFF434C"/>
    <w:rsid w:val="6F2A3D87"/>
    <w:rsid w:val="6F634E5B"/>
    <w:rsid w:val="6F7F3F38"/>
    <w:rsid w:val="6F811BEC"/>
    <w:rsid w:val="6F9560CE"/>
    <w:rsid w:val="6F9B53CE"/>
    <w:rsid w:val="6F9B6194"/>
    <w:rsid w:val="6FA375EC"/>
    <w:rsid w:val="6FAF8FB0"/>
    <w:rsid w:val="6FE4598C"/>
    <w:rsid w:val="6FE87B8F"/>
    <w:rsid w:val="6FF70502"/>
    <w:rsid w:val="6FFFA275"/>
    <w:rsid w:val="6FFFCA24"/>
    <w:rsid w:val="70C10F0A"/>
    <w:rsid w:val="7103582E"/>
    <w:rsid w:val="71DF3C13"/>
    <w:rsid w:val="72336786"/>
    <w:rsid w:val="72696EF8"/>
    <w:rsid w:val="72E9E628"/>
    <w:rsid w:val="73161EB9"/>
    <w:rsid w:val="731F12E3"/>
    <w:rsid w:val="733F71A4"/>
    <w:rsid w:val="735B2D46"/>
    <w:rsid w:val="737C25E3"/>
    <w:rsid w:val="738D2CDB"/>
    <w:rsid w:val="73F76402"/>
    <w:rsid w:val="743B42FD"/>
    <w:rsid w:val="748911DE"/>
    <w:rsid w:val="74B162C1"/>
    <w:rsid w:val="754A1737"/>
    <w:rsid w:val="75E7AE4F"/>
    <w:rsid w:val="75EE34BA"/>
    <w:rsid w:val="75FDC04B"/>
    <w:rsid w:val="765EC75A"/>
    <w:rsid w:val="76633E43"/>
    <w:rsid w:val="76BF756E"/>
    <w:rsid w:val="772FBA82"/>
    <w:rsid w:val="77336D4C"/>
    <w:rsid w:val="773525F9"/>
    <w:rsid w:val="77596BC9"/>
    <w:rsid w:val="77719A21"/>
    <w:rsid w:val="77B6658B"/>
    <w:rsid w:val="77F712C5"/>
    <w:rsid w:val="77FFF729"/>
    <w:rsid w:val="785908DB"/>
    <w:rsid w:val="78623E4C"/>
    <w:rsid w:val="7877469D"/>
    <w:rsid w:val="78A36B82"/>
    <w:rsid w:val="78F93813"/>
    <w:rsid w:val="79620204"/>
    <w:rsid w:val="79781320"/>
    <w:rsid w:val="797C08FC"/>
    <w:rsid w:val="79B214F5"/>
    <w:rsid w:val="79F20686"/>
    <w:rsid w:val="7A365027"/>
    <w:rsid w:val="7A676CF6"/>
    <w:rsid w:val="7A7FF4DD"/>
    <w:rsid w:val="7AFF8BA6"/>
    <w:rsid w:val="7B2B5465"/>
    <w:rsid w:val="7B56AFBA"/>
    <w:rsid w:val="7B6514FD"/>
    <w:rsid w:val="7B6660C0"/>
    <w:rsid w:val="7B7C69DD"/>
    <w:rsid w:val="7BCD08A5"/>
    <w:rsid w:val="7BCF789D"/>
    <w:rsid w:val="7BF991AD"/>
    <w:rsid w:val="7BFBF549"/>
    <w:rsid w:val="7BFEB8D5"/>
    <w:rsid w:val="7C3DD55D"/>
    <w:rsid w:val="7C7758D2"/>
    <w:rsid w:val="7CA20298"/>
    <w:rsid w:val="7D6604B2"/>
    <w:rsid w:val="7D947C21"/>
    <w:rsid w:val="7DC02E1C"/>
    <w:rsid w:val="7DCB60AB"/>
    <w:rsid w:val="7DCF3EA6"/>
    <w:rsid w:val="7DE7C224"/>
    <w:rsid w:val="7DF5784F"/>
    <w:rsid w:val="7DF754EA"/>
    <w:rsid w:val="7E055243"/>
    <w:rsid w:val="7E486708"/>
    <w:rsid w:val="7E7E2A1F"/>
    <w:rsid w:val="7E946073"/>
    <w:rsid w:val="7E9F1D5E"/>
    <w:rsid w:val="7EB9D47A"/>
    <w:rsid w:val="7ECC3E54"/>
    <w:rsid w:val="7ECF16D5"/>
    <w:rsid w:val="7EEF2C72"/>
    <w:rsid w:val="7EF79825"/>
    <w:rsid w:val="7EFB3C88"/>
    <w:rsid w:val="7F1B5160"/>
    <w:rsid w:val="7F554581"/>
    <w:rsid w:val="7F6E68F9"/>
    <w:rsid w:val="7F76295D"/>
    <w:rsid w:val="7FFFDA97"/>
    <w:rsid w:val="87BFF53E"/>
    <w:rsid w:val="8B6F1C49"/>
    <w:rsid w:val="8B6FD207"/>
    <w:rsid w:val="973FFB07"/>
    <w:rsid w:val="97D68A71"/>
    <w:rsid w:val="9D7B80C2"/>
    <w:rsid w:val="9F7DCD52"/>
    <w:rsid w:val="9FDF0049"/>
    <w:rsid w:val="AF5E9453"/>
    <w:rsid w:val="B57E4EE0"/>
    <w:rsid w:val="B7FFFD98"/>
    <w:rsid w:val="B97580BB"/>
    <w:rsid w:val="BBFF554A"/>
    <w:rsid w:val="BDF1C261"/>
    <w:rsid w:val="BE3B5E43"/>
    <w:rsid w:val="BEFF5EC2"/>
    <w:rsid w:val="C7A76A56"/>
    <w:rsid w:val="C7F720E2"/>
    <w:rsid w:val="D9FAA2BB"/>
    <w:rsid w:val="DD1E78C6"/>
    <w:rsid w:val="DEB4F4B9"/>
    <w:rsid w:val="DF6D2463"/>
    <w:rsid w:val="DF9A345C"/>
    <w:rsid w:val="DFABC02F"/>
    <w:rsid w:val="DFBE0BEA"/>
    <w:rsid w:val="DFF6E85C"/>
    <w:rsid w:val="E2D10DC7"/>
    <w:rsid w:val="E6F7568C"/>
    <w:rsid w:val="E7E7BC9A"/>
    <w:rsid w:val="EA4E3633"/>
    <w:rsid w:val="ED8FE79F"/>
    <w:rsid w:val="EEA7253E"/>
    <w:rsid w:val="EEDDCC47"/>
    <w:rsid w:val="EFDECE59"/>
    <w:rsid w:val="F3454DA1"/>
    <w:rsid w:val="F3EE49BA"/>
    <w:rsid w:val="F5DEE86C"/>
    <w:rsid w:val="F5DF4461"/>
    <w:rsid w:val="F67EEB73"/>
    <w:rsid w:val="F67F3759"/>
    <w:rsid w:val="F6DE3252"/>
    <w:rsid w:val="F77BCF87"/>
    <w:rsid w:val="F7BE5576"/>
    <w:rsid w:val="F7BEE793"/>
    <w:rsid w:val="F7FD52A0"/>
    <w:rsid w:val="F9FF494A"/>
    <w:rsid w:val="FAFA4E0A"/>
    <w:rsid w:val="FB3F1B52"/>
    <w:rsid w:val="FB59AEC0"/>
    <w:rsid w:val="FBE2AFF1"/>
    <w:rsid w:val="FCDEDD15"/>
    <w:rsid w:val="FD7F2A3A"/>
    <w:rsid w:val="FDCDD005"/>
    <w:rsid w:val="FDF98463"/>
    <w:rsid w:val="FE3FB81E"/>
    <w:rsid w:val="FE737573"/>
    <w:rsid w:val="FEB784BD"/>
    <w:rsid w:val="FF796217"/>
    <w:rsid w:val="FF7FD9ED"/>
    <w:rsid w:val="FFB7716E"/>
    <w:rsid w:val="FFC31C2A"/>
    <w:rsid w:val="FFDBAFA3"/>
    <w:rsid w:val="FFDE19DA"/>
    <w:rsid w:val="FFE3C57F"/>
    <w:rsid w:val="FFE9711B"/>
    <w:rsid w:val="FFEB1AFB"/>
    <w:rsid w:val="FFEB6683"/>
    <w:rsid w:val="FFEC0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960" w:firstLineChars="200"/>
      <w:jc w:val="both"/>
    </w:pPr>
    <w:rPr>
      <w:rFonts w:ascii="Calibri" w:hAnsi="Calibri" w:eastAsia="宋体" w:cs="宋体"/>
      <w:kern w:val="2"/>
      <w:sz w:val="28"/>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qFormat/>
    <w:uiPriority w:val="9"/>
    <w:pPr>
      <w:keepNext/>
      <w:keepLines/>
      <w:spacing w:before="260" w:after="260" w:line="416" w:lineRule="auto"/>
      <w:outlineLvl w:val="1"/>
    </w:pPr>
    <w:rPr>
      <w:rFonts w:ascii="Calibri Light" w:hAnsi="Calibri Light"/>
      <w:b/>
      <w:bCs/>
      <w:sz w:val="32"/>
      <w:szCs w:val="32"/>
    </w:rPr>
  </w:style>
  <w:style w:type="paragraph" w:styleId="5">
    <w:name w:val="heading 3"/>
    <w:basedOn w:val="1"/>
    <w:next w:val="1"/>
    <w:link w:val="35"/>
    <w:qFormat/>
    <w:uiPriority w:val="9"/>
    <w:pPr>
      <w:widowControl/>
      <w:spacing w:before="20" w:after="20" w:line="360" w:lineRule="auto"/>
      <w:jc w:val="left"/>
      <w:outlineLvl w:val="2"/>
    </w:pPr>
    <w:rPr>
      <w:rFonts w:ascii="宋体" w:hAnsi="宋体"/>
      <w:b/>
      <w:bCs/>
      <w:kern w:val="0"/>
      <w:szCs w:val="32"/>
    </w:rPr>
  </w:style>
  <w:style w:type="paragraph" w:styleId="6">
    <w:name w:val="heading 4"/>
    <w:basedOn w:val="1"/>
    <w:next w:val="1"/>
    <w:qFormat/>
    <w:uiPriority w:val="9"/>
    <w:pPr>
      <w:keepNext/>
      <w:keepLines/>
      <w:ind w:firstLine="0" w:firstLineChars="0"/>
      <w:outlineLvl w:val="3"/>
    </w:pPr>
    <w:rPr>
      <w:rFonts w:ascii="Arial" w:hAnsi="Arial" w:eastAsia="黑体"/>
      <w:b/>
      <w:sz w:val="30"/>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bCs/>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方正小标宋简体" w:hAnsi="方正小标宋简体" w:eastAsia="方正小标宋简体" w:cs="Times New Roman"/>
      <w:color w:val="000000"/>
      <w:sz w:val="24"/>
      <w:szCs w:val="22"/>
      <w:lang w:val="en-US" w:eastAsia="zh-CN" w:bidi="ar-SA"/>
    </w:rPr>
  </w:style>
  <w:style w:type="paragraph" w:styleId="8">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rPr>
  </w:style>
  <w:style w:type="paragraph" w:styleId="9">
    <w:name w:val="Normal Indent"/>
    <w:basedOn w:val="1"/>
    <w:qFormat/>
    <w:uiPriority w:val="99"/>
    <w:pPr>
      <w:ind w:firstLine="420"/>
    </w:pPr>
  </w:style>
  <w:style w:type="paragraph" w:styleId="10">
    <w:name w:val="Body Text"/>
    <w:basedOn w:val="1"/>
    <w:qFormat/>
    <w:uiPriority w:val="0"/>
  </w:style>
  <w:style w:type="paragraph" w:styleId="11">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rPr>
  </w:style>
  <w:style w:type="paragraph" w:styleId="12">
    <w:name w:val="toc 3"/>
    <w:basedOn w:val="1"/>
    <w:next w:val="1"/>
    <w:qFormat/>
    <w:uiPriority w:val="39"/>
    <w:pPr>
      <w:ind w:left="840" w:leftChars="400" w:firstLine="0" w:firstLineChars="0"/>
    </w:pPr>
    <w:rPr>
      <w:rFonts w:eastAsia="黑体"/>
      <w:sz w:val="24"/>
    </w:rPr>
  </w:style>
  <w:style w:type="paragraph" w:styleId="13">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ind w:firstLine="0" w:firstLineChars="0"/>
    </w:pPr>
    <w:rPr>
      <w:rFonts w:eastAsia="黑体"/>
      <w:sz w:val="24"/>
    </w:rPr>
  </w:style>
  <w:style w:type="paragraph" w:styleId="17">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rPr>
  </w:style>
  <w:style w:type="paragraph" w:styleId="18">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rPr>
  </w:style>
  <w:style w:type="paragraph" w:styleId="19">
    <w:name w:val="table of figures"/>
    <w:basedOn w:val="1"/>
    <w:next w:val="1"/>
    <w:qFormat/>
    <w:uiPriority w:val="99"/>
    <w:pPr>
      <w:ind w:left="200" w:leftChars="200" w:hanging="200" w:hangingChars="200"/>
    </w:pPr>
  </w:style>
  <w:style w:type="paragraph" w:styleId="20">
    <w:name w:val="toc 2"/>
    <w:basedOn w:val="1"/>
    <w:next w:val="1"/>
    <w:qFormat/>
    <w:uiPriority w:val="39"/>
    <w:pPr>
      <w:ind w:left="420" w:leftChars="200" w:firstLine="0" w:firstLineChars="0"/>
    </w:pPr>
    <w:rPr>
      <w:rFonts w:eastAsia="黑体"/>
      <w:sz w:val="24"/>
    </w:rPr>
  </w:style>
  <w:style w:type="paragraph" w:styleId="21">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rPr>
  </w:style>
  <w:style w:type="paragraph" w:styleId="22">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3">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unhideWhenUsed/>
    <w:qFormat/>
    <w:uiPriority w:val="99"/>
    <w:rPr>
      <w:color w:val="0563C1" w:themeColor="hyperlink"/>
      <w:u w:val="single"/>
      <w14:textFill>
        <w14:solidFill>
          <w14:schemeClr w14:val="hlink"/>
        </w14:solidFill>
      </w14:textFill>
    </w:rPr>
  </w:style>
  <w:style w:type="paragraph" w:customStyle="1" w:styleId="28">
    <w:name w:val="Body Text Indent 21"/>
    <w:basedOn w:val="1"/>
    <w:qFormat/>
    <w:uiPriority w:val="0"/>
    <w:pPr>
      <w:spacing w:line="480" w:lineRule="auto"/>
      <w:ind w:left="420" w:leftChars="200"/>
    </w:pPr>
    <w:rPr>
      <w:color w:val="000000"/>
      <w:kern w:val="0"/>
    </w:rPr>
  </w:style>
  <w:style w:type="paragraph" w:customStyle="1" w:styleId="29">
    <w:name w:val="样式1"/>
    <w:basedOn w:val="3"/>
    <w:qFormat/>
    <w:uiPriority w:val="0"/>
    <w:pPr>
      <w:spacing w:before="0" w:line="500" w:lineRule="atLeast"/>
      <w:ind w:firstLine="0" w:firstLineChars="0"/>
      <w:jc w:val="center"/>
    </w:pPr>
    <w:rPr>
      <w:rFonts w:ascii="宋体" w:hAnsi="宋体" w:eastAsia="黑体" w:cs="Times New Roman"/>
      <w:szCs w:val="28"/>
    </w:rPr>
  </w:style>
  <w:style w:type="table" w:customStyle="1" w:styleId="30">
    <w:name w:val="网格型3"/>
    <w:basedOn w:val="24"/>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网格型4"/>
    <w:basedOn w:val="24"/>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正文-公1"/>
    <w:basedOn w:val="1"/>
    <w:qFormat/>
    <w:uiPriority w:val="0"/>
    <w:pPr>
      <w:ind w:firstLine="200"/>
    </w:pPr>
    <w:rPr>
      <w:rFonts w:eastAsia="仿宋_GB2312"/>
      <w:szCs w:val="21"/>
    </w:rPr>
  </w:style>
  <w:style w:type="paragraph" w:styleId="33">
    <w:name w:val="List Paragraph"/>
    <w:basedOn w:val="1"/>
    <w:unhideWhenUsed/>
    <w:qFormat/>
    <w:uiPriority w:val="99"/>
    <w:pPr>
      <w:ind w:firstLine="420"/>
    </w:pPr>
  </w:style>
  <w:style w:type="character" w:customStyle="1" w:styleId="34">
    <w:name w:val="标题 2 字符"/>
    <w:basedOn w:val="26"/>
    <w:link w:val="4"/>
    <w:qFormat/>
    <w:uiPriority w:val="9"/>
    <w:rPr>
      <w:rFonts w:ascii="Calibri Light" w:hAnsi="Calibri Light" w:cs="宋体"/>
      <w:b/>
      <w:bCs/>
      <w:kern w:val="2"/>
      <w:sz w:val="32"/>
      <w:szCs w:val="32"/>
    </w:rPr>
  </w:style>
  <w:style w:type="character" w:customStyle="1" w:styleId="35">
    <w:name w:val="标题 3 字符"/>
    <w:basedOn w:val="26"/>
    <w:link w:val="5"/>
    <w:qFormat/>
    <w:uiPriority w:val="9"/>
    <w:rPr>
      <w:rFonts w:ascii="宋体" w:hAnsi="宋体" w:cs="宋体"/>
      <w:b/>
      <w:bCs/>
      <w:sz w:val="28"/>
      <w:szCs w:val="32"/>
    </w:rPr>
  </w:style>
  <w:style w:type="character" w:customStyle="1" w:styleId="36">
    <w:name w:val="未处理的提及1"/>
    <w:basedOn w:val="26"/>
    <w:semiHidden/>
    <w:unhideWhenUsed/>
    <w:qFormat/>
    <w:uiPriority w:val="99"/>
    <w:rPr>
      <w:color w:val="605E5C"/>
      <w:shd w:val="clear" w:color="auto" w:fill="E1DFDD"/>
    </w:rPr>
  </w:style>
  <w:style w:type="paragraph" w:customStyle="1" w:styleId="37">
    <w:name w:val="TOC 标题1"/>
    <w:basedOn w:val="3"/>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8">
    <w:name w:val="font31"/>
    <w:basedOn w:val="26"/>
    <w:qFormat/>
    <w:uiPriority w:val="0"/>
    <w:rPr>
      <w:rFonts w:hint="eastAsia" w:ascii="仿宋" w:hAnsi="仿宋" w:eastAsia="仿宋" w:cs="仿宋"/>
      <w:color w:val="000000"/>
      <w:sz w:val="18"/>
      <w:szCs w:val="18"/>
      <w:u w:val="none"/>
    </w:rPr>
  </w:style>
  <w:style w:type="character" w:customStyle="1" w:styleId="39">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chart" Target="charts/chart1.xml"/><Relationship Id="rId24" Type="http://schemas.openxmlformats.org/officeDocument/2006/relationships/theme" Target="theme/theme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cked"/>
        <c:varyColors val="false"/>
        <c:ser>
          <c:idx val="0"/>
          <c:order val="0"/>
          <c:tx>
            <c:strRef>
              <c:f>Sheet1!$B$1</c:f>
              <c:strCache>
                <c:ptCount val="1"/>
                <c:pt idx="0">
                  <c:v>接待游客数（万人次）</c:v>
                </c:pt>
              </c:strCache>
            </c:strRef>
          </c:tx>
          <c:spPr>
            <a:ln w="31750" cap="rnd" cmpd="sng" algn="ctr">
              <a:solidFill>
                <a:schemeClr val="accent1"/>
              </a:solidFill>
              <a:prstDash val="solid"/>
              <a:round/>
            </a:ln>
            <a:effectLst/>
          </c:spPr>
          <c:marker>
            <c:symbol val="circle"/>
            <c:size val="17"/>
            <c:spPr>
              <a:solidFill>
                <a:schemeClr val="accent1"/>
              </a:solidFill>
              <a:ln w="6350" cap="flat" cmpd="sng" algn="ctr">
                <a:noFill/>
                <a:prstDash val="solid"/>
                <a:round/>
              </a:ln>
              <a:effectLst/>
            </c:spPr>
          </c:marker>
          <c:dLbls>
            <c:spPr>
              <a:noFill/>
              <a:ln>
                <a:noFill/>
              </a:ln>
              <a:effectLst/>
            </c:spPr>
            <c:txPr>
              <a:bodyPr rot="0" spcFirstLastPara="0" vertOverflow="ellipsis" vert="horz" wrap="square" lIns="38100" tIns="19050" rIns="38100" bIns="19050" anchor="ctr" anchorCtr="true"/>
              <a:lstStyle/>
              <a:p>
                <a:pPr>
                  <a:defRPr lang="zh-CN" sz="900" b="1" i="0" u="none" strike="noStrike" kern="1200" cap="none" spc="0" normalizeH="0" baseline="0">
                    <a:solidFill>
                      <a:schemeClr val="tx1"/>
                    </a:solidFill>
                    <a:uFill>
                      <a:solidFill>
                        <a:schemeClr val="bg1"/>
                      </a:solidFill>
                    </a:u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0.00_ </c:formatCode>
                <c:ptCount val="5"/>
                <c:pt idx="0">
                  <c:v>1807.4</c:v>
                </c:pt>
                <c:pt idx="1">
                  <c:v>2571.18</c:v>
                </c:pt>
                <c:pt idx="2">
                  <c:v>3649.31</c:v>
                </c:pt>
                <c:pt idx="3">
                  <c:v>4996.4</c:v>
                </c:pt>
                <c:pt idx="4">
                  <c:v>3875.74</c:v>
                </c:pt>
              </c:numCache>
            </c:numRef>
          </c:val>
          <c:smooth val="false"/>
        </c:ser>
        <c:ser>
          <c:idx val="1"/>
          <c:order val="1"/>
          <c:tx>
            <c:strRef>
              <c:f>Sheet1!$C$1</c:f>
              <c:strCache>
                <c:ptCount val="1"/>
                <c:pt idx="0">
                  <c:v>旅游总消费（亿元）</c:v>
                </c:pt>
              </c:strCache>
            </c:strRef>
          </c:tx>
          <c:spPr>
            <a:ln w="31750" cap="rnd" cmpd="sng" algn="ctr">
              <a:solidFill>
                <a:schemeClr val="accent2"/>
              </a:solidFill>
              <a:prstDash val="solid"/>
              <a:round/>
            </a:ln>
            <a:effectLst/>
          </c:spPr>
          <c:marker>
            <c:symbol val="circle"/>
            <c:size val="17"/>
            <c:spPr>
              <a:solidFill>
                <a:schemeClr val="accent2"/>
              </a:solidFill>
              <a:ln w="6350" cap="flat" cmpd="sng" algn="ctr">
                <a:noFill/>
                <a:prstDash val="solid"/>
                <a:round/>
              </a:ln>
              <a:effectLst/>
            </c:spPr>
          </c:marker>
          <c:dLbls>
            <c:spPr>
              <a:noFill/>
              <a:ln>
                <a:noFill/>
              </a:ln>
              <a:effectLst/>
            </c:spPr>
            <c:txPr>
              <a:bodyPr rot="0" spcFirstLastPara="0" vertOverflow="ellipsis" vert="horz" wrap="square" lIns="38100" tIns="19050" rIns="38100" bIns="19050" anchor="ctr" anchorCtr="true"/>
              <a:lstStyle/>
              <a:p>
                <a:pPr>
                  <a:defRPr lang="zh-CN" sz="900" b="1" i="0" u="none" strike="noStrike" kern="1200" cap="none" spc="0" normalizeH="0" baseline="0">
                    <a:solidFill>
                      <a:schemeClr val="tx1"/>
                    </a:solidFill>
                    <a:uFill>
                      <a:solidFill>
                        <a:schemeClr val="bg1"/>
                      </a:solidFill>
                    </a:u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Sheet1!$C$2:$C$6</c:f>
              <c:numCache>
                <c:formatCode>0.00_ </c:formatCode>
                <c:ptCount val="5"/>
                <c:pt idx="0">
                  <c:v>173.64</c:v>
                </c:pt>
                <c:pt idx="1">
                  <c:v>254.55</c:v>
                </c:pt>
                <c:pt idx="2">
                  <c:v>372.26</c:v>
                </c:pt>
                <c:pt idx="3">
                  <c:v>521.83</c:v>
                </c:pt>
                <c:pt idx="4">
                  <c:v>390.99</c:v>
                </c:pt>
              </c:numCache>
            </c:numRef>
          </c:val>
          <c:smooth val="false"/>
        </c:ser>
        <c:dLbls>
          <c:showLegendKey val="false"/>
          <c:showVal val="true"/>
          <c:showCatName val="false"/>
          <c:showSerName val="false"/>
          <c:showPercent val="false"/>
          <c:showBubbleSize val="false"/>
        </c:dLbls>
        <c:marker val="true"/>
        <c:smooth val="false"/>
        <c:axId val="372110080"/>
        <c:axId val="372111616"/>
      </c:lineChart>
      <c:catAx>
        <c:axId val="372110080"/>
        <c:scaling>
          <c:orientation val="minMax"/>
        </c:scaling>
        <c:delete val="false"/>
        <c:axPos val="b"/>
        <c:numFmt formatCode="General" sourceLinked="false"/>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0" vertOverflow="ellipsis" vert="horz" wrap="square" anchor="ctr" anchorCtr="true"/>
          <a:lstStyle/>
          <a:p>
            <a:pPr>
              <a:defRPr lang="zh-CN" sz="900" b="0" i="0" u="none" strike="noStrike" kern="1200" cap="all" baseline="0">
                <a:solidFill>
                  <a:schemeClr val="dk1">
                    <a:lumMod val="75000"/>
                    <a:lumOff val="25000"/>
                  </a:schemeClr>
                </a:solidFill>
                <a:latin typeface="+mn-lt"/>
                <a:ea typeface="+mn-ea"/>
                <a:cs typeface="+mn-cs"/>
              </a:defRPr>
            </a:pPr>
          </a:p>
        </c:txPr>
        <c:crossAx val="372111616"/>
        <c:crosses val="autoZero"/>
        <c:auto val="true"/>
        <c:lblAlgn val="ctr"/>
        <c:lblOffset val="100"/>
        <c:noMultiLvlLbl val="false"/>
      </c:catAx>
      <c:valAx>
        <c:axId val="372111616"/>
        <c:scaling>
          <c:orientation val="minMax"/>
        </c:scaling>
        <c:delete val="true"/>
        <c:axPos val="l"/>
        <c:majorGridlines>
          <c:spPr>
            <a:ln w="9525" cap="flat" cmpd="sng" algn="ctr">
              <a:gradFill>
                <a:gsLst>
                  <a:gs pos="0">
                    <a:schemeClr val="lt1">
                      <a:lumMod val="75000"/>
                      <a:alpha val="36000"/>
                    </a:schemeClr>
                  </a:gs>
                  <a:gs pos="100000">
                    <a:schemeClr val="dk1">
                      <a:lumMod val="95000"/>
                      <a:lumOff val="5000"/>
                      <a:alpha val="42000"/>
                    </a:schemeClr>
                  </a:gs>
                </a:gsLst>
                <a:lin ang="5400000" scaled="false"/>
              </a:gradFill>
              <a:prstDash val="solid"/>
              <a:round/>
            </a:ln>
            <a:effectLst/>
          </c:spPr>
        </c:majorGridlines>
        <c:numFmt formatCode="0.00_ "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72110080"/>
        <c:crosses val="autoZero"/>
        <c:crossBetween val="between"/>
      </c:valAx>
      <c:spPr>
        <a:noFill/>
        <a:ln>
          <a:noFill/>
        </a:ln>
        <a:effectLst/>
      </c:spPr>
    </c:plotArea>
    <c:legend>
      <c:legendPos val="b"/>
      <c:layout/>
      <c:overlay val="false"/>
      <c:spPr>
        <a:solidFill>
          <a:schemeClr val="lt1">
            <a:lumMod val="95000"/>
            <a:alpha val="39000"/>
          </a:schemeClr>
        </a:solidFill>
        <a:ln>
          <a:noFill/>
        </a:ln>
        <a:effectLst/>
      </c:spPr>
      <c:txPr>
        <a:bodyPr rot="0" spcFirstLastPara="0" vertOverflow="ellipsis" vert="horz" wrap="square" anchor="ctr" anchorCtr="true"/>
        <a:lstStyle/>
        <a:p>
          <a:pPr>
            <a:defRPr lang="zh-CN" sz="900" b="0" i="0" u="none" strike="noStrike" kern="1200" baseline="0">
              <a:solidFill>
                <a:schemeClr val="dk1">
                  <a:lumMod val="75000"/>
                  <a:lumOff val="25000"/>
                </a:schemeClr>
              </a:solidFill>
              <a:latin typeface="+mn-lt"/>
              <a:ea typeface="+mn-ea"/>
              <a:cs typeface="+mn-cs"/>
            </a:defRPr>
          </a:pPr>
        </a:p>
      </c:txPr>
    </c:legend>
    <c:plotVisOnly val="true"/>
    <c:dispBlanksAs val="zero"/>
    <c:showDLblsOverMax val="false"/>
  </c:chart>
  <c:spPr>
    <a:gradFill flip="none" rotWithShape="true">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117</Pages>
  <Words>10625</Words>
  <Characters>60569</Characters>
  <Lines>504</Lines>
  <Paragraphs>142</Paragraphs>
  <TotalTime>23</TotalTime>
  <ScaleCrop>false</ScaleCrop>
  <LinksUpToDate>false</LinksUpToDate>
  <CharactersWithSpaces>71052</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2021-11-01T20:29:00Z</dcterms:created>
  <dc:creator>WD</dc:creator>
  <cp:lastModifiedBy>Gxxc</cp:lastModifiedBy>
  <cp:lastPrinted>2022-02-16T19:35:00Z</cp:lastPrinted>
  <dcterms:modified xsi:type="dcterms:W3CDTF">2023-07-06T11:55:21Z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C1B0F5AEECD7436B9296A8D0CF60936A</vt:lpwstr>
  </property>
</Properties>
</file>