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项目总投资概算核定表</w:t>
      </w:r>
    </w:p>
    <w:tbl>
      <w:tblPr>
        <w:tblStyle w:val="3"/>
        <w:tblW w:w="5160" w:type="pct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817"/>
        <w:gridCol w:w="714"/>
        <w:gridCol w:w="821"/>
        <w:gridCol w:w="821"/>
        <w:gridCol w:w="620"/>
        <w:gridCol w:w="720"/>
        <w:gridCol w:w="838"/>
        <w:gridCol w:w="922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25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概算造价（万元）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投资占比（%）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软件开发费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268.80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93.83%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全媒体“网格扎根”融合采编指挥系统3.0升级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129.20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170.80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41.37%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钦州此刻APP升级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融媒体系统配套采编设备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243.00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30.01%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演播厅升级改造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第一部分：工程费用合计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268.80 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93.83%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项目可研编制费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0.31%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项目设计费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第三方软件测评费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占软件开发费1%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项目监理费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第二部分：工程其他费用合计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4.94%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第一、二部分合计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98.77%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建设投资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（一）+（二）+（三）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建设期利息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固定资产投资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（四）+（五）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444.18 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809.83 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（六）+（七）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9603"/>
    <w:multiLevelType w:val="multilevel"/>
    <w:tmpl w:val="2C0B9603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575" w:hanging="575"/>
      </w:pPr>
      <w:rPr>
        <w:rFonts w:hint="default" w:ascii="Cambria" w:hAnsi="Cambria"/>
        <w:sz w:val="32"/>
        <w:szCs w:val="32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 w:ascii="Cambria" w:hAnsi="Cambria" w:cs="Cambria"/>
        <w:sz w:val="32"/>
        <w:szCs w:val="32"/>
      </w:rPr>
    </w:lvl>
    <w:lvl w:ilvl="3" w:tentative="0">
      <w:start w:val="1"/>
      <w:numFmt w:val="decimal"/>
      <w:isLgl/>
      <w:suff w:val="space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1287" w:hanging="1151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2416" w:hanging="1296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MmE3NDViNjdiNGM2ZWEyYzk5Zjk0NGNhOTNkNzAifQ=="/>
  </w:docVars>
  <w:rsids>
    <w:rsidRoot w:val="00000000"/>
    <w:rsid w:val="152526E6"/>
    <w:rsid w:val="5F0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adjustRightInd/>
      <w:spacing w:before="340" w:after="330" w:line="578" w:lineRule="auto"/>
      <w:textAlignment w:val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691</Characters>
  <Lines>0</Lines>
  <Paragraphs>0</Paragraphs>
  <TotalTime>11</TotalTime>
  <ScaleCrop>false</ScaleCrop>
  <LinksUpToDate>false</LinksUpToDate>
  <CharactersWithSpaces>756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2023-06-19T03:50:00Z</dcterms:created>
  <dc:creator>Administrator</dc:creator>
  <cp:lastModifiedBy>蒙鹏</cp:lastModifiedBy>
  <cp:lastPrinted>2023-06-20T00:34:54Z</cp:lastPrinted>
  <dcterms:modified xsi:type="dcterms:W3CDTF">2023-06-20T00:36:43Z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A241F25629D44CF4A52BF9D9C903B402_12</vt:lpwstr>
  </property>
</Properties>
</file>