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both"/>
        <w:rPr>
          <w:rFonts w:hint="eastAsia" w:ascii="黑体" w:hAnsi="黑体" w:eastAsia="黑体" w:cs="黑体"/>
          <w:bCs/>
          <w:sz w:val="44"/>
          <w:szCs w:val="44"/>
        </w:rPr>
      </w:pPr>
      <w:bookmarkStart w:id="197" w:name="_GoBack"/>
      <w:r>
        <w:rPr>
          <w:rFonts w:hint="eastAsia" w:ascii="黑体" w:hAnsi="黑体" w:eastAsia="黑体" w:cs="黑体"/>
          <w:sz w:val="32"/>
          <w:szCs w:val="32"/>
          <w:lang w:eastAsia="zh-CN"/>
        </w:rPr>
        <w:t>附件</w:t>
      </w:r>
    </w:p>
    <w:bookmarkEnd w:id="197"/>
    <w:p>
      <w:pPr>
        <w:overflowPunct w:val="0"/>
        <w:spacing w:line="560" w:lineRule="exact"/>
        <w:jc w:val="center"/>
        <w:rPr>
          <w:rFonts w:hint="default" w:ascii="Times New Roman" w:hAnsi="Times New Roman" w:eastAsia="黑体" w:cs="Times New Roman"/>
          <w:bCs/>
          <w:sz w:val="44"/>
          <w:szCs w:val="44"/>
        </w:rPr>
      </w:pPr>
    </w:p>
    <w:p>
      <w:pPr>
        <w:overflowPunct w:val="0"/>
        <w:spacing w:line="560" w:lineRule="exact"/>
        <w:jc w:val="center"/>
        <w:rPr>
          <w:rFonts w:hint="default" w:ascii="Times New Roman" w:hAnsi="Times New Roman" w:eastAsia="黑体" w:cs="Times New Roman"/>
          <w:bCs/>
          <w:sz w:val="44"/>
          <w:szCs w:val="44"/>
        </w:rPr>
      </w:pPr>
    </w:p>
    <w:p>
      <w:pPr>
        <w:overflowPunct w:val="0"/>
        <w:spacing w:line="560" w:lineRule="exact"/>
        <w:jc w:val="center"/>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rPr>
        <w:t>钦州市粮食和物资储备行业发展</w:t>
      </w:r>
    </w:p>
    <w:p>
      <w:pPr>
        <w:overflowPunct w:val="0"/>
        <w:spacing w:line="560" w:lineRule="exact"/>
        <w:jc w:val="center"/>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rPr>
        <w:t>“十四五”规划</w:t>
      </w:r>
    </w:p>
    <w:p>
      <w:pPr>
        <w:pageBreakBefore w:val="0"/>
        <w:kinsoku/>
        <w:wordWrap/>
        <w:overflowPunct w:val="0"/>
        <w:topLinePunct w:val="0"/>
        <w:autoSpaceDE/>
        <w:autoSpaceDN/>
        <w:bidi w:val="0"/>
        <w:spacing w:line="570" w:lineRule="exact"/>
        <w:jc w:val="center"/>
        <w:textAlignment w:val="auto"/>
        <w:rPr>
          <w:rFonts w:hint="eastAsia" w:ascii="楷体_GB2312" w:hAnsi="楷体_GB2312" w:eastAsia="楷体_GB2312" w:cs="楷体_GB2312"/>
          <w:b w:val="0"/>
          <w:bCs/>
          <w:sz w:val="44"/>
          <w:szCs w:val="44"/>
          <w:lang w:eastAsia="zh-CN"/>
        </w:rPr>
      </w:pPr>
      <w:r>
        <w:rPr>
          <w:rFonts w:hint="eastAsia" w:ascii="楷体_GB2312" w:hAnsi="楷体_GB2312" w:eastAsia="楷体_GB2312" w:cs="楷体_GB2312"/>
          <w:b w:val="0"/>
          <w:bCs/>
          <w:sz w:val="44"/>
          <w:szCs w:val="44"/>
          <w:lang w:eastAsia="zh-CN"/>
        </w:rPr>
        <w:t>（征求意见稿）</w:t>
      </w:r>
    </w:p>
    <w:p>
      <w:pPr>
        <w:pageBreakBefore w:val="0"/>
        <w:kinsoku/>
        <w:wordWrap/>
        <w:overflowPunct w:val="0"/>
        <w:topLinePunct w:val="0"/>
        <w:autoSpaceDE/>
        <w:autoSpaceDN/>
        <w:bidi w:val="0"/>
        <w:spacing w:line="570" w:lineRule="exact"/>
        <w:jc w:val="left"/>
        <w:textAlignment w:val="auto"/>
        <w:rPr>
          <w:rFonts w:ascii="仿宋" w:hAnsi="仿宋" w:eastAsia="仿宋"/>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tabs>
          <w:tab w:val="left" w:pos="833"/>
        </w:tabs>
        <w:overflowPunct w:val="0"/>
        <w:spacing w:line="560" w:lineRule="exact"/>
        <w:jc w:val="left"/>
        <w:rPr>
          <w:rFonts w:hint="default" w:ascii="Times New Roman" w:hAnsi="Times New Roman" w:eastAsia="仿宋" w:cs="Times New Roman"/>
          <w:sz w:val="32"/>
          <w:szCs w:val="32"/>
        </w:rPr>
      </w:pPr>
    </w:p>
    <w:p>
      <w:pPr>
        <w:tabs>
          <w:tab w:val="left" w:pos="833"/>
        </w:tabs>
        <w:overflowPunct w:val="0"/>
        <w:spacing w:line="560" w:lineRule="exact"/>
        <w:jc w:val="left"/>
        <w:rPr>
          <w:rFonts w:hint="default" w:ascii="Times New Roman" w:hAnsi="Times New Roman" w:eastAsia="仿宋" w:cs="Times New Roman"/>
          <w:sz w:val="32"/>
          <w:szCs w:val="32"/>
        </w:rPr>
      </w:pPr>
    </w:p>
    <w:p>
      <w:pPr>
        <w:tabs>
          <w:tab w:val="left" w:pos="833"/>
        </w:tabs>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center"/>
        <w:rPr>
          <w:rFonts w:hint="default" w:ascii="Times New Roman" w:hAnsi="Times New Roman" w:eastAsia="仿宋" w:cs="Times New Roman"/>
          <w:b/>
          <w:sz w:val="32"/>
          <w:szCs w:val="32"/>
          <w:lang w:eastAsia="zh-CN"/>
        </w:rPr>
      </w:pPr>
      <w:r>
        <w:rPr>
          <w:rFonts w:hint="default" w:ascii="Times New Roman" w:hAnsi="Times New Roman" w:eastAsia="仿宋" w:cs="Times New Roman"/>
          <w:b/>
          <w:sz w:val="32"/>
          <w:szCs w:val="32"/>
        </w:rPr>
        <w:t>钦州市</w:t>
      </w:r>
      <w:r>
        <w:rPr>
          <w:rFonts w:hint="default" w:ascii="Times New Roman" w:hAnsi="Times New Roman" w:eastAsia="仿宋" w:cs="Times New Roman"/>
          <w:b/>
          <w:sz w:val="32"/>
          <w:szCs w:val="32"/>
          <w:lang w:eastAsia="zh-CN"/>
        </w:rPr>
        <w:t>发展和改革委员会</w:t>
      </w:r>
    </w:p>
    <w:p>
      <w:pPr>
        <w:overflowPunct w:val="0"/>
        <w:spacing w:line="560" w:lineRule="exact"/>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2022年</w:t>
      </w:r>
      <w:r>
        <w:rPr>
          <w:rFonts w:hint="default" w:ascii="Times New Roman" w:hAnsi="Times New Roman" w:eastAsia="仿宋" w:cs="Times New Roman"/>
          <w:b/>
          <w:sz w:val="32"/>
          <w:szCs w:val="32"/>
          <w:lang w:val="en-US" w:eastAsia="zh-CN"/>
        </w:rPr>
        <w:t>4</w:t>
      </w:r>
      <w:r>
        <w:rPr>
          <w:rFonts w:hint="default" w:ascii="Times New Roman" w:hAnsi="Times New Roman" w:eastAsia="仿宋" w:cs="Times New Roman"/>
          <w:b/>
          <w:sz w:val="32"/>
          <w:szCs w:val="32"/>
        </w:rPr>
        <w:t>月</w:t>
      </w:r>
    </w:p>
    <w:p>
      <w:pPr>
        <w:overflowPunct w:val="0"/>
        <w:spacing w:line="560" w:lineRule="exact"/>
        <w:jc w:val="center"/>
        <w:rPr>
          <w:rFonts w:hint="default" w:ascii="Times New Roman" w:hAnsi="Times New Roman" w:cs="Times New Roman"/>
        </w:rPr>
        <w:sectPr>
          <w:footerReference r:id="rId3" w:type="default"/>
          <w:pgSz w:w="11907" w:h="16840"/>
          <w:pgMar w:top="1587" w:right="1474" w:bottom="1474" w:left="1587" w:header="851" w:footer="992" w:gutter="0"/>
          <w:pgNumType w:fmt="numberInDash" w:start="1"/>
          <w:cols w:space="425" w:num="1"/>
          <w:docGrid w:linePitch="579" w:charSpace="-849"/>
        </w:sectPr>
      </w:pPr>
    </w:p>
    <w:p>
      <w:pPr>
        <w:spacing w:line="560" w:lineRule="exact"/>
        <w:rPr>
          <w:rFonts w:hint="default" w:ascii="Times New Roman" w:hAnsi="Times New Roman" w:cs="Times New Roman"/>
        </w:rPr>
      </w:pPr>
    </w:p>
    <w:p>
      <w:pPr>
        <w:spacing w:line="560" w:lineRule="exact"/>
        <w:jc w:val="center"/>
        <w:rPr>
          <w:rFonts w:hint="default" w:ascii="Times New Roman" w:hAnsi="Times New Roman" w:eastAsia="宋体" w:cs="Times New Roman"/>
          <w:sz w:val="44"/>
          <w:szCs w:val="44"/>
          <w:lang w:val="zh-CN"/>
        </w:rPr>
      </w:pPr>
      <w:r>
        <w:rPr>
          <w:rFonts w:hint="default" w:ascii="Times New Roman" w:hAnsi="Times New Roman" w:eastAsia="宋体" w:cs="Times New Roman"/>
          <w:sz w:val="44"/>
          <w:szCs w:val="44"/>
          <w:lang w:val="zh-CN"/>
        </w:rPr>
        <w:t>目</w:t>
      </w:r>
      <w:r>
        <w:rPr>
          <w:rFonts w:hint="default" w:ascii="Times New Roman" w:hAnsi="Times New Roman" w:eastAsia="宋体" w:cs="Times New Roman"/>
          <w:sz w:val="44"/>
          <w:szCs w:val="44"/>
        </w:rPr>
        <w:t xml:space="preserve">   </w:t>
      </w:r>
      <w:r>
        <w:rPr>
          <w:rFonts w:hint="default" w:ascii="Times New Roman" w:hAnsi="Times New Roman" w:eastAsia="宋体" w:cs="Times New Roman"/>
          <w:sz w:val="44"/>
          <w:szCs w:val="44"/>
          <w:lang w:val="zh-CN"/>
        </w:rPr>
        <w:t>录</w:t>
      </w:r>
    </w:p>
    <w:p>
      <w:pPr>
        <w:spacing w:line="560" w:lineRule="exact"/>
        <w:rPr>
          <w:rFonts w:hint="default" w:ascii="Times New Roman" w:hAnsi="Times New Roman" w:eastAsia="宋体" w:cs="Times New Roman"/>
          <w:sz w:val="28"/>
          <w:szCs w:val="28"/>
          <w:lang w:val="zh-CN"/>
        </w:rPr>
      </w:pPr>
    </w:p>
    <w:p>
      <w:pPr>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zh-CN"/>
        </w:rPr>
        <w:t>前</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zh-CN"/>
        </w:rPr>
        <w:t>言…………………………………………</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-4-</w:t>
      </w:r>
    </w:p>
    <w:p>
      <w:pPr>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zh-CN"/>
        </w:rPr>
        <w:t>第一章  发展基础、发展机遇和挑战…………</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发展基础………………………………</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“十四五”发展面临的机遇和挑战</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rPr>
        <w:t>-8-</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第二章  指导思想、基本原则及发展目标………………………………</w:t>
      </w:r>
      <w:r>
        <w:rPr>
          <w:rFonts w:hint="default" w:ascii="Times New Roman" w:hAnsi="Times New Roman" w:eastAsia="宋体" w:cs="Times New Roman"/>
          <w:sz w:val="28"/>
          <w:szCs w:val="28"/>
        </w:rPr>
        <w:t>-12-</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指导思想……………………………………………………</w:t>
      </w:r>
      <w:r>
        <w:rPr>
          <w:rFonts w:hint="default" w:ascii="Times New Roman" w:hAnsi="Times New Roman" w:eastAsia="宋体" w:cs="Times New Roman"/>
          <w:sz w:val="28"/>
          <w:szCs w:val="28"/>
        </w:rPr>
        <w:t>-12-</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基本原则……………………………………………………</w:t>
      </w:r>
      <w:r>
        <w:rPr>
          <w:rFonts w:hint="default" w:ascii="Times New Roman" w:hAnsi="Times New Roman" w:eastAsia="宋体" w:cs="Times New Roman"/>
          <w:sz w:val="28"/>
          <w:szCs w:val="28"/>
        </w:rPr>
        <w:t>-12-</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主要目标……………………………………………………</w:t>
      </w:r>
      <w:r>
        <w:rPr>
          <w:rFonts w:hint="default" w:ascii="Times New Roman" w:hAnsi="Times New Roman" w:eastAsia="宋体" w:cs="Times New Roman"/>
          <w:sz w:val="28"/>
          <w:szCs w:val="28"/>
        </w:rPr>
        <w:t>-13-</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第三章  健全粮食宏观调控体系，增强保供稳市能力…………………</w:t>
      </w:r>
      <w:r>
        <w:rPr>
          <w:rFonts w:hint="default" w:ascii="Times New Roman" w:hAnsi="Times New Roman" w:eastAsia="宋体" w:cs="Times New Roman"/>
          <w:sz w:val="28"/>
          <w:szCs w:val="28"/>
        </w:rPr>
        <w:t>-15-</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深化粮食收储制度改革……………………………………</w:t>
      </w:r>
      <w:r>
        <w:rPr>
          <w:rFonts w:hint="default" w:ascii="Times New Roman" w:hAnsi="Times New Roman" w:eastAsia="宋体" w:cs="Times New Roman"/>
          <w:sz w:val="28"/>
          <w:szCs w:val="28"/>
        </w:rPr>
        <w:t>-15-</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健全粮食储备调节体系……………………………………</w:t>
      </w:r>
      <w:r>
        <w:rPr>
          <w:rFonts w:hint="default" w:ascii="Times New Roman" w:hAnsi="Times New Roman" w:eastAsia="宋体" w:cs="Times New Roman"/>
          <w:sz w:val="28"/>
          <w:szCs w:val="28"/>
        </w:rPr>
        <w:t>-16-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构建新型粮食市场监测预警体系…………………………</w:t>
      </w:r>
      <w:r>
        <w:rPr>
          <w:rFonts w:hint="default" w:ascii="Times New Roman" w:hAnsi="Times New Roman" w:eastAsia="宋体" w:cs="Times New Roman"/>
          <w:sz w:val="28"/>
          <w:szCs w:val="28"/>
        </w:rPr>
        <w:t>-16-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提升粮食应急保障能力……………………………………</w:t>
      </w:r>
      <w:r>
        <w:rPr>
          <w:rFonts w:hint="default" w:ascii="Times New Roman" w:hAnsi="Times New Roman" w:eastAsia="宋体" w:cs="Times New Roman"/>
          <w:sz w:val="28"/>
          <w:szCs w:val="28"/>
        </w:rPr>
        <w:t>-17-</w:t>
      </w:r>
    </w:p>
    <w:p>
      <w:pPr>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 xml:space="preserve">第四章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zh-CN"/>
        </w:rPr>
        <w:t>大力发展粮食产业经济，推动行业高质量发展………………</w:t>
      </w:r>
      <w:r>
        <w:rPr>
          <w:rFonts w:hint="default" w:ascii="Times New Roman" w:hAnsi="Times New Roman" w:eastAsia="宋体" w:cs="Times New Roman"/>
          <w:sz w:val="28"/>
          <w:szCs w:val="28"/>
        </w:rPr>
        <w:t>-19-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发展壮大粮油产业…………………………………………</w:t>
      </w:r>
      <w:r>
        <w:rPr>
          <w:rFonts w:hint="default" w:ascii="Times New Roman" w:hAnsi="Times New Roman" w:eastAsia="宋体" w:cs="Times New Roman"/>
          <w:sz w:val="28"/>
          <w:szCs w:val="28"/>
        </w:rPr>
        <w:t>-19-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创新粮食产业发展…………………………………………</w:t>
      </w:r>
      <w:r>
        <w:rPr>
          <w:rFonts w:hint="default" w:ascii="Times New Roman" w:hAnsi="Times New Roman" w:eastAsia="宋体" w:cs="Times New Roman"/>
          <w:sz w:val="28"/>
          <w:szCs w:val="28"/>
        </w:rPr>
        <w:t>-20-</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加快粮食产业转型升级……………………………………</w:t>
      </w:r>
      <w:r>
        <w:rPr>
          <w:rFonts w:hint="default" w:ascii="Times New Roman" w:hAnsi="Times New Roman" w:eastAsia="宋体" w:cs="Times New Roman"/>
          <w:sz w:val="28"/>
          <w:szCs w:val="28"/>
        </w:rPr>
        <w:t>-21-</w:t>
      </w:r>
    </w:p>
    <w:p>
      <w:pPr>
        <w:rPr>
          <w:rFonts w:hint="default" w:ascii="Times New Roman" w:hAnsi="Times New Roman" w:cs="Times New Roman"/>
          <w:spacing w:val="-20"/>
          <w:lang w:val="zh-CN"/>
        </w:rPr>
      </w:pPr>
      <w:r>
        <w:rPr>
          <w:rFonts w:hint="default" w:ascii="Times New Roman" w:hAnsi="Times New Roman" w:eastAsia="宋体" w:cs="Times New Roman"/>
          <w:sz w:val="28"/>
          <w:szCs w:val="28"/>
          <w:lang w:val="zh-CN"/>
        </w:rPr>
        <w:t xml:space="preserve">第五章 </w:t>
      </w:r>
      <w:r>
        <w:rPr>
          <w:rFonts w:hint="default" w:ascii="Times New Roman" w:hAnsi="Times New Roman" w:eastAsia="宋体" w:cs="Times New Roman"/>
          <w:spacing w:val="-20"/>
          <w:sz w:val="28"/>
          <w:szCs w:val="28"/>
          <w:lang w:val="zh-CN"/>
        </w:rPr>
        <w:t>大力打造统一高效的物资储备保障体系，增强抵御重大风险能力</w:t>
      </w:r>
      <w:r>
        <w:rPr>
          <w:rFonts w:hint="default" w:ascii="Times New Roman" w:hAnsi="Times New Roman" w:eastAsia="宋体" w:cs="Times New Roman"/>
          <w:sz w:val="28"/>
          <w:szCs w:val="28"/>
          <w:lang w:val="zh-CN"/>
        </w:rPr>
        <w:t>………</w:t>
      </w:r>
      <w:r>
        <w:rPr>
          <w:rFonts w:hint="default" w:ascii="Times New Roman" w:hAnsi="Times New Roman" w:eastAsia="宋体" w:cs="Times New Roman"/>
          <w:spacing w:val="-20"/>
          <w:sz w:val="28"/>
          <w:szCs w:val="28"/>
          <w:lang w:val="zh-CN"/>
        </w:rPr>
        <w:t>-23-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提升物资储备能力…………………………………………</w:t>
      </w:r>
      <w:r>
        <w:rPr>
          <w:rFonts w:hint="default" w:ascii="Times New Roman" w:hAnsi="Times New Roman" w:eastAsia="宋体" w:cs="Times New Roman"/>
          <w:sz w:val="28"/>
          <w:szCs w:val="28"/>
        </w:rPr>
        <w:t>-23-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落实重要物资储备规模……………………………………</w:t>
      </w:r>
      <w:r>
        <w:rPr>
          <w:rFonts w:hint="default" w:ascii="Times New Roman" w:hAnsi="Times New Roman" w:eastAsia="宋体" w:cs="Times New Roman"/>
          <w:sz w:val="28"/>
          <w:szCs w:val="28"/>
        </w:rPr>
        <w:t>-23-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提升物资储备管理水平……………………………………</w:t>
      </w:r>
      <w:r>
        <w:rPr>
          <w:rFonts w:hint="default" w:ascii="Times New Roman" w:hAnsi="Times New Roman" w:eastAsia="宋体" w:cs="Times New Roman"/>
          <w:sz w:val="28"/>
          <w:szCs w:val="28"/>
        </w:rPr>
        <w:t>-24-</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提升应急物资调运快反能力………………………………</w:t>
      </w:r>
      <w:r>
        <w:rPr>
          <w:rFonts w:hint="default" w:ascii="Times New Roman" w:hAnsi="Times New Roman" w:eastAsia="宋体" w:cs="Times New Roman"/>
          <w:sz w:val="28"/>
          <w:szCs w:val="28"/>
        </w:rPr>
        <w:t>-24-</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第六章  加快建设现代粮食仓储物流体系，增强粮食流通能力………</w:t>
      </w:r>
      <w:r>
        <w:rPr>
          <w:rFonts w:hint="default" w:ascii="Times New Roman" w:hAnsi="Times New Roman" w:eastAsia="宋体" w:cs="Times New Roman"/>
          <w:sz w:val="28"/>
          <w:szCs w:val="28"/>
        </w:rPr>
        <w:t>-26-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zh-CN"/>
        </w:rPr>
        <w:t>完善陆海粮食物流通道……………………………………</w:t>
      </w:r>
      <w:r>
        <w:rPr>
          <w:rFonts w:hint="default" w:ascii="Times New Roman" w:hAnsi="Times New Roman" w:eastAsia="宋体" w:cs="Times New Roman"/>
          <w:sz w:val="28"/>
          <w:szCs w:val="28"/>
        </w:rPr>
        <w:t>-26-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完善粮食仓储设施…………………………………………</w:t>
      </w:r>
      <w:r>
        <w:rPr>
          <w:rFonts w:hint="default" w:ascii="Times New Roman" w:hAnsi="Times New Roman" w:eastAsia="宋体" w:cs="Times New Roman"/>
          <w:sz w:val="28"/>
          <w:szCs w:val="28"/>
        </w:rPr>
        <w:t>-26-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完善粮食物流服务水平……………………………………</w:t>
      </w:r>
      <w:r>
        <w:rPr>
          <w:rFonts w:hint="default" w:ascii="Times New Roman" w:hAnsi="Times New Roman" w:eastAsia="宋体" w:cs="Times New Roman"/>
          <w:sz w:val="28"/>
          <w:szCs w:val="28"/>
        </w:rPr>
        <w:t>-27-</w:t>
      </w:r>
    </w:p>
    <w:p>
      <w:pPr>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 xml:space="preserve">第七章  </w:t>
      </w:r>
      <w:r>
        <w:rPr>
          <w:rFonts w:hint="default" w:ascii="Times New Roman" w:hAnsi="Times New Roman" w:eastAsia="宋体" w:cs="Times New Roman"/>
          <w:sz w:val="28"/>
          <w:szCs w:val="28"/>
          <w:lang w:val="zh-CN" w:eastAsia="zh-CN"/>
        </w:rPr>
        <w:t>推动形成新型军粮供应体系</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lang w:val="zh-CN" w:eastAsia="zh-CN"/>
        </w:rPr>
        <w:t>增强军供</w:t>
      </w:r>
      <w:r>
        <w:rPr>
          <w:rFonts w:hint="default" w:ascii="Times New Roman" w:hAnsi="Times New Roman" w:eastAsia="宋体" w:cs="Times New Roman"/>
          <w:sz w:val="28"/>
          <w:szCs w:val="28"/>
          <w:lang w:val="zh-CN"/>
        </w:rPr>
        <w:t>保障能力……………</w:t>
      </w:r>
      <w:r>
        <w:rPr>
          <w:rFonts w:hint="default" w:ascii="Times New Roman" w:hAnsi="Times New Roman" w:eastAsia="宋体" w:cs="Times New Roman"/>
          <w:sz w:val="28"/>
          <w:szCs w:val="28"/>
        </w:rPr>
        <w:t>-29-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完善军粮供应保障网络……………………………………</w:t>
      </w:r>
      <w:r>
        <w:rPr>
          <w:rFonts w:hint="default" w:ascii="Times New Roman" w:hAnsi="Times New Roman" w:eastAsia="宋体" w:cs="Times New Roman"/>
          <w:sz w:val="28"/>
          <w:szCs w:val="28"/>
        </w:rPr>
        <w:t>-29-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提升应急机动保障能力……………………………………</w:t>
      </w:r>
      <w:r>
        <w:rPr>
          <w:rFonts w:hint="default" w:ascii="Times New Roman" w:hAnsi="Times New Roman" w:eastAsia="宋体" w:cs="Times New Roman"/>
          <w:sz w:val="28"/>
          <w:szCs w:val="28"/>
        </w:rPr>
        <w:t>-30-</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第八章  健全优化现代化行业治理体系，提升治理效能………………</w:t>
      </w:r>
      <w:r>
        <w:rPr>
          <w:rFonts w:hint="default" w:ascii="Times New Roman" w:hAnsi="Times New Roman" w:eastAsia="宋体" w:cs="Times New Roman"/>
          <w:sz w:val="28"/>
          <w:szCs w:val="28"/>
        </w:rPr>
        <w:t>-33-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积极推进地方粮食和物资储备立法修规…………………</w:t>
      </w:r>
      <w:r>
        <w:rPr>
          <w:rFonts w:hint="default" w:ascii="Times New Roman" w:hAnsi="Times New Roman" w:eastAsia="宋体" w:cs="Times New Roman"/>
          <w:sz w:val="28"/>
          <w:szCs w:val="28"/>
        </w:rPr>
        <w:t>-33-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建立健全执法监督体系……………………………………</w:t>
      </w:r>
      <w:r>
        <w:rPr>
          <w:rFonts w:hint="default" w:ascii="Times New Roman" w:hAnsi="Times New Roman" w:eastAsia="宋体" w:cs="Times New Roman"/>
          <w:sz w:val="28"/>
          <w:szCs w:val="28"/>
        </w:rPr>
        <w:t>-34-</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大力推进节粮减损……………</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-34-</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压紧压实安全生产责任………</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-35-</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第九章  大力夯实科技和人才支撑体系，增强创新发展能力…………</w:t>
      </w:r>
      <w:r>
        <w:rPr>
          <w:rFonts w:hint="default" w:ascii="Times New Roman" w:hAnsi="Times New Roman" w:eastAsia="宋体" w:cs="Times New Roman"/>
          <w:sz w:val="28"/>
          <w:szCs w:val="28"/>
        </w:rPr>
        <w:t>-36-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加大科技推广应用…………………………………………</w:t>
      </w:r>
      <w:r>
        <w:rPr>
          <w:rFonts w:hint="default" w:ascii="Times New Roman" w:hAnsi="Times New Roman" w:eastAsia="宋体" w:cs="Times New Roman"/>
          <w:sz w:val="28"/>
          <w:szCs w:val="28"/>
        </w:rPr>
        <w:t>-36-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提升粮食和物资储备数字化发展水平……………………</w:t>
      </w:r>
      <w:r>
        <w:rPr>
          <w:rFonts w:hint="default" w:ascii="Times New Roman" w:hAnsi="Times New Roman" w:eastAsia="宋体" w:cs="Times New Roman"/>
          <w:sz w:val="28"/>
          <w:szCs w:val="28"/>
        </w:rPr>
        <w:t>-36-</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第十章  保障措施…………………………………………………………</w:t>
      </w:r>
      <w:r>
        <w:rPr>
          <w:rFonts w:hint="default" w:ascii="Times New Roman" w:hAnsi="Times New Roman" w:eastAsia="宋体" w:cs="Times New Roman"/>
          <w:sz w:val="28"/>
          <w:szCs w:val="28"/>
        </w:rPr>
        <w:t>-38-</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加强组织领导………………</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-38-</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加大政策支持………………</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-38-</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拓展融资渠道…………………</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强化部门协作………………</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-39-</w:t>
      </w:r>
    </w:p>
    <w:p>
      <w:pPr>
        <w:spacing w:line="560" w:lineRule="exact"/>
        <w:ind w:firstLine="560" w:firstLineChars="200"/>
        <w:jc w:val="left"/>
        <w:rPr>
          <w:rFonts w:hint="default" w:ascii="Times New Roman" w:hAnsi="Times New Roman" w:eastAsia="方正小标宋简体" w:cs="Times New Roman"/>
        </w:rPr>
      </w:pPr>
      <w:r>
        <w:rPr>
          <w:rFonts w:hint="default" w:ascii="Times New Roman" w:hAnsi="Times New Roman" w:eastAsia="宋体" w:cs="Times New Roman"/>
          <w:sz w:val="28"/>
          <w:szCs w:val="28"/>
          <w:lang w:val="zh-CN"/>
        </w:rPr>
        <w:t>第五节 严格责任考核……………</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-39-</w:t>
      </w: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前  言</w:t>
      </w:r>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国全面建成小康社会、实现第一个百年奋斗目标、开启全面建设社会主义现代化国家新征程、向第二个百年奋斗目标进军的第一个五年。粮食和物资储备是国家安全、经济社会稳定的重要基础，起着“压舱石”和“稳定器”的重要作用。</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市全面实施“建大港、壮产业、造滨城、美乡村”四轮驱动战略、加快建设西部陆海新通道战略枢纽、争当广西“面朝大海、向海图强”排头兵的关键时期。我市粮食和物资储备系统以习近平新时代中国特色社会主义思想和党的十九大及十九届</w:t>
      </w:r>
      <w:r>
        <w:rPr>
          <w:rFonts w:hint="default" w:ascii="Times New Roman" w:hAnsi="Times New Roman" w:eastAsia="仿宋_GB2312" w:cs="Times New Roman"/>
          <w:sz w:val="32"/>
          <w:szCs w:val="32"/>
          <w:lang w:eastAsia="zh-CN"/>
        </w:rPr>
        <w:t>历次全会</w:t>
      </w:r>
      <w:r>
        <w:rPr>
          <w:rFonts w:hint="default" w:ascii="Times New Roman" w:hAnsi="Times New Roman" w:eastAsia="仿宋_GB2312" w:cs="Times New Roman"/>
          <w:sz w:val="32"/>
          <w:szCs w:val="32"/>
        </w:rPr>
        <w:t>精神为指导，深入贯彻落实习近平总书记对粮食工作和广西工作系列重要讲话指示精神，以《广西壮族自治区国民经济和社会发展第十四个五年规划和二〇三五年远景目标纲要框架》《广西粮食和物资储备行业发展“十四五”规划》为依据，把保障粮食安全作为实施安全战略和乡村振兴战略发展目标，把扎实推进优质粮食工程，保障粮、油、肉等重要物资供给安全，提升收储调控治理能力，开展粮食节约行动，加快补齐物资储备领域短板，加强应急物资保障体系建设，加强军粮保障工作作为重要任务，加快建设更高层次、更高质量、更有效率、更可持续、更为安全的粮食和物资储备保障体系，制订本发展规划纲要。</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对“十三五”粮食和物资储备工作进行了总结，明确了未来五年我市粮食流通和物资储备发展的总体思路、发展目标和重点任务，涵盖粮食收储、仓储物流、粮食产业、物资储备、治理体系、军粮工作和人才培养等领域，是指导全市粮食流通和物资储备行业发展的重要依据。</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本规划期限为2021年—2025年。</w:t>
      </w:r>
    </w:p>
    <w:p>
      <w:pPr>
        <w:pStyle w:val="2"/>
        <w:keepNext w:val="0"/>
        <w:keepLines w:val="0"/>
        <w:overflowPunct w:val="0"/>
        <w:adjustRightInd/>
        <w:snapToGrid/>
        <w:spacing w:before="0" w:after="0"/>
        <w:ind w:firstLine="643" w:firstLineChars="200"/>
        <w:rPr>
          <w:rFonts w:hint="default" w:ascii="Times New Roman" w:hAnsi="Times New Roman" w:eastAsia="仿宋_GB2312" w:cs="Times New Roman"/>
          <w:sz w:val="32"/>
          <w:szCs w:val="32"/>
        </w:rPr>
        <w:sectPr>
          <w:pgSz w:w="11907" w:h="16840"/>
          <w:pgMar w:top="1440" w:right="1417" w:bottom="1440" w:left="1417" w:header="851" w:footer="992" w:gutter="0"/>
          <w:pgNumType w:fmt="numberInDash"/>
          <w:cols w:space="425" w:num="1"/>
          <w:docGrid w:linePitch="579" w:charSpace="-849"/>
        </w:sectPr>
      </w:pPr>
      <w:bookmarkStart w:id="0" w:name="_Toc14988"/>
      <w:bookmarkStart w:id="1" w:name="_Toc19782"/>
      <w:bookmarkStart w:id="2" w:name="_Toc13143"/>
      <w:bookmarkStart w:id="3" w:name="_Toc29408"/>
      <w:bookmarkStart w:id="4" w:name="_Toc73888698"/>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第一章  发展基础、</w:t>
      </w:r>
      <w:bookmarkEnd w:id="0"/>
      <w:bookmarkEnd w:id="1"/>
      <w:bookmarkEnd w:id="2"/>
      <w:bookmarkEnd w:id="3"/>
      <w:bookmarkEnd w:id="4"/>
      <w:r>
        <w:rPr>
          <w:rFonts w:hint="default" w:ascii="Times New Roman" w:hAnsi="Times New Roman" w:eastAsia="方正小标宋简体" w:cs="Times New Roman"/>
          <w:b w:val="0"/>
          <w:bCs w:val="0"/>
        </w:rPr>
        <w:t>发展机遇和挑战</w:t>
      </w:r>
    </w:p>
    <w:p>
      <w:pPr>
        <w:pStyle w:val="3"/>
        <w:overflowPunct w:val="0"/>
        <w:spacing w:after="200" w:line="560" w:lineRule="exact"/>
        <w:jc w:val="center"/>
        <w:rPr>
          <w:rFonts w:hint="default" w:ascii="Times New Roman" w:hAnsi="Times New Roman" w:eastAsia="黑体" w:cs="Times New Roman"/>
          <w:b w:val="0"/>
          <w:bCs w:val="0"/>
        </w:rPr>
      </w:pPr>
      <w:bookmarkStart w:id="5" w:name="_Toc14751"/>
      <w:bookmarkStart w:id="6" w:name="_Toc5278"/>
      <w:bookmarkStart w:id="7" w:name="_Toc73888699"/>
      <w:bookmarkStart w:id="8" w:name="_Toc7978"/>
      <w:bookmarkStart w:id="9" w:name="_Toc10256"/>
      <w:r>
        <w:rPr>
          <w:rFonts w:hint="default" w:ascii="Times New Roman" w:hAnsi="Times New Roman" w:eastAsia="黑体" w:cs="Times New Roman"/>
          <w:b w:val="0"/>
          <w:bCs w:val="0"/>
        </w:rPr>
        <w:t>第一节  发展基础</w:t>
      </w:r>
      <w:bookmarkEnd w:id="5"/>
      <w:bookmarkEnd w:id="6"/>
      <w:bookmarkEnd w:id="7"/>
      <w:bookmarkEnd w:id="8"/>
      <w:bookmarkEnd w:id="9"/>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时期，在习近平新时代中国特色社会主义思想的指引下，在市委党委、政府的坚强领导下，在自治区粮食和物资储备局的指导和支持下，我市粮食和物资储备系统以供给侧结构性改革为主线，坚持统筹发展与安全，着力推动粮食产业高质量发展及粮食和物资储备治理能力现代化，守好全市粮仓安全，筑牢社会稳定的“压舱石”。</w:t>
      </w:r>
    </w:p>
    <w:p>
      <w:pPr>
        <w:overflowPunct w:val="0"/>
        <w:spacing w:line="560" w:lineRule="exact"/>
        <w:ind w:firstLine="643" w:firstLineChars="200"/>
        <w:rPr>
          <w:rFonts w:hint="default" w:ascii="Times New Roman" w:hAnsi="Times New Roman" w:eastAsia="仿宋_GB2312" w:cs="Times New Roman"/>
          <w:b/>
          <w:bCs/>
          <w:color w:val="000000"/>
        </w:rPr>
      </w:pPr>
      <w:r>
        <w:rPr>
          <w:rFonts w:hint="default" w:ascii="Times New Roman" w:hAnsi="Times New Roman" w:eastAsia="楷体_GB2312" w:cs="Times New Roman"/>
          <w:b/>
          <w:color w:val="000000" w:themeColor="text1"/>
          <w:sz w:val="32"/>
          <w:szCs w:val="28"/>
          <w14:textFill>
            <w14:solidFill>
              <w14:schemeClr w14:val="tx1"/>
            </w14:solidFill>
          </w14:textFill>
        </w:rPr>
        <w:t>粮食宏观调控能力迈上新台阶。</w:t>
      </w:r>
      <w:r>
        <w:rPr>
          <w:rFonts w:hint="default" w:ascii="Times New Roman" w:hAnsi="Times New Roman" w:eastAsia="仿宋_GB2312" w:cs="Times New Roman"/>
          <w:sz w:val="32"/>
          <w:szCs w:val="32"/>
        </w:rPr>
        <w:t>“十三五”期间，我市深化粮食收储制度改革，完善稻谷补贴与储备粮订单收购政策，</w:t>
      </w:r>
      <w:r>
        <w:rPr>
          <w:rFonts w:hint="default" w:ascii="Times New Roman" w:hAnsi="Times New Roman" w:eastAsia="仿宋_GB2312" w:cs="Times New Roman"/>
          <w:color w:val="000000"/>
          <w:sz w:val="32"/>
          <w:szCs w:val="32"/>
        </w:rPr>
        <w:t>全市累计收购稻谷21万吨（原粮），发放惠农粮食补贴资金5300万元，确保了粮食储备库存充实和粮食市场稳定，保护了农民种粮积极性。新冠肺炎疫情期间，及时增加应急成品粮储备，强化粮源组织调度，强化粮食产销合作，从区外采购调入粮食9000吨，每年安排1.8万吨地方储备粮轮换出库投放市场，为稳市场保民生做出了重大贡献。</w:t>
      </w:r>
    </w:p>
    <w:p>
      <w:pPr>
        <w:spacing w:line="560" w:lineRule="exact"/>
        <w:ind w:firstLine="790" w:firstLineChars="246"/>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粮食产业发展取得新成效。</w:t>
      </w:r>
      <w:r>
        <w:rPr>
          <w:rFonts w:hint="default" w:ascii="Times New Roman" w:hAnsi="Times New Roman" w:eastAsia="仿宋_GB2312" w:cs="Times New Roman"/>
          <w:sz w:val="32"/>
          <w:szCs w:val="32"/>
        </w:rPr>
        <w:t>我市紧紧围绕粮食安全和乡村振兴“两大战略”，以“优质粮食工程”为抓手，通过“广西香米”区域公用品牌效应，将灵山县“富稀谷”、“龙绕香”和浦北县“浦福源富硒大米”、“浦生富硒红衣花生”等优质粮油品牌纳入广西香米目录，打造成在广西具有较高知名度美誉度的区域性品牌。稻谷补贴与储备粮订单收购挂钩政策优势持续发挥，全市优质粮食种植面积17.2万亩，为优质大米提供粮源保障，增加农民收入3500万余元。</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粮食仓储基础设施建设取得新跨越。</w:t>
      </w:r>
      <w:r>
        <w:rPr>
          <w:rFonts w:hint="default" w:ascii="Times New Roman" w:hAnsi="Times New Roman" w:eastAsia="仿宋_GB2312" w:cs="Times New Roman"/>
          <w:sz w:val="32"/>
          <w:szCs w:val="32"/>
        </w:rPr>
        <w:t>充分整合中央和自治区、市财政支持资金，大力推进粮食仓储设施建设和改造提升。截止2020年年末，全市国有地方粮食企业标准仓房仓容和完好仓容分别分别达到24.74万吨、22.09万吨，完好仓容比“十二五”期末增长69.9%，应用环流熏蒸、粮情测控、机械通风、气调储粮、低温准低温储粮技术分别占完好仓容的75.2%、85.2%、85.2%、34.6%、3.2%，所占比例均比“十二五”时期上升。全市粮库智能化升级改造项目全部完成并通过验收</w:t>
      </w:r>
      <w:r>
        <w:rPr>
          <w:rFonts w:hint="default" w:ascii="Times New Roman" w:hAnsi="Times New Roman" w:eastAsia="仿宋_GB2312" w:cs="Times New Roman"/>
          <w:color w:val="000000" w:themeColor="text1"/>
          <w:sz w:val="32"/>
          <w:szCs w:val="32"/>
          <w14:textFill>
            <w14:solidFill>
              <w14:schemeClr w14:val="tx1"/>
            </w14:solidFill>
          </w14:textFill>
        </w:rPr>
        <w:t>，实现自治区、市、县级三级互联互通，</w:t>
      </w:r>
      <w:r>
        <w:rPr>
          <w:rFonts w:hint="default" w:ascii="Times New Roman" w:hAnsi="Times New Roman" w:eastAsia="仿宋_GB2312" w:cs="Times New Roman"/>
          <w:sz w:val="32"/>
          <w:szCs w:val="32"/>
        </w:rPr>
        <w:t>视频接通率为100%。深入实施“优质粮食工程”，在灵山、浦北、钦南、钦北建成11个粮食产后服务中心项目，市级粮食质检机构已经成立，预计2022年中完成资质认证，获取资质后，正式承担全市政策性粮油质量的检验监测任务，持续开展粮食收获期质量关口前移工作，加强政策性粮食质量监管，严把入库质量关。</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仓储物流设施进一步增强。</w:t>
      </w:r>
      <w:r>
        <w:rPr>
          <w:rFonts w:hint="default" w:ascii="Times New Roman" w:hAnsi="Times New Roman" w:eastAsia="仿宋_GB2312" w:cs="Times New Roman"/>
          <w:sz w:val="32"/>
          <w:szCs w:val="32"/>
        </w:rPr>
        <w:t>“十三五”期间，紧紧抓住中国（广西）自由贸易试验区和西部陆海新通道的重大机遇，加快推进粮食市场体系建设，重点建设钦南区中国——西部沿海粮食产业园项目和钦北区粮食应急分拨综合物流设施项目，钦南区项目已完成投资1000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万元，建设内容涵盖</w:t>
      </w:r>
      <w:r>
        <w:rPr>
          <w:rFonts w:hint="default" w:ascii="Times New Roman" w:hAnsi="Times New Roman" w:eastAsia="仿宋_GB2312" w:cs="Times New Roman"/>
          <w:bCs/>
          <w:sz w:val="32"/>
          <w:szCs w:val="32"/>
        </w:rPr>
        <w:t>粮油仓储、粮食加工、粮食物流中转交易、粮油检验检测及信息中心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钦北区项目已完成投资1500万，建设内容主要是约4万吨仓容的粮食储备库及粮油批发市场</w:t>
      </w:r>
      <w:r>
        <w:rPr>
          <w:rFonts w:hint="default" w:ascii="Times New Roman" w:hAnsi="Times New Roman" w:eastAsia="仿宋_GB2312" w:cs="Times New Roman"/>
          <w:sz w:val="32"/>
          <w:szCs w:val="32"/>
        </w:rPr>
        <w:t>，项目建成后将极大提升全市粮食安全基础设施及应急配送能力。</w:t>
      </w:r>
      <w:r>
        <w:rPr>
          <w:rFonts w:hint="default" w:ascii="Times New Roman" w:hAnsi="Times New Roman" w:eastAsia="仿宋_GB2312" w:cs="Times New Roman"/>
          <w:color w:val="1C1E1B"/>
          <w:sz w:val="32"/>
          <w:szCs w:val="32"/>
        </w:rPr>
        <w:t>灵山县那隆镇的那隆粮食储备中心库完成了仓容5.5万吨储备库建设，</w:t>
      </w:r>
      <w:r>
        <w:rPr>
          <w:rFonts w:hint="default" w:ascii="Times New Roman" w:hAnsi="Times New Roman" w:eastAsia="仿宋_GB2312" w:cs="Times New Roman"/>
          <w:color w:val="000000" w:themeColor="text1"/>
          <w:sz w:val="32"/>
          <w:szCs w:val="32"/>
          <w14:textFill>
            <w14:solidFill>
              <w14:schemeClr w14:val="tx1"/>
            </w14:solidFill>
          </w14:textFill>
        </w:rPr>
        <w:t>2018-2020年期间</w:t>
      </w:r>
      <w:r>
        <w:rPr>
          <w:rFonts w:hint="default" w:ascii="Times New Roman" w:hAnsi="Times New Roman" w:eastAsia="仿宋_GB2312" w:cs="Times New Roman"/>
          <w:color w:val="1C1E1B"/>
          <w:sz w:val="32"/>
          <w:szCs w:val="32"/>
        </w:rPr>
        <w:t>完成了</w:t>
      </w:r>
      <w:r>
        <w:rPr>
          <w:rFonts w:hint="default" w:ascii="Times New Roman" w:hAnsi="Times New Roman" w:eastAsia="仿宋_GB2312" w:cs="Times New Roman"/>
          <w:sz w:val="32"/>
          <w:szCs w:val="32"/>
        </w:rPr>
        <w:t>浦北县寨圩粮所2000吨仓容和钦南区那丽粮所1.25万吨主体建设，项目建设投入使用后将极大增加我市的仓储能力，进一步优化了一体化粮食储存状况</w:t>
      </w:r>
      <w:r>
        <w:rPr>
          <w:rFonts w:hint="default" w:ascii="Times New Roman" w:hAnsi="Times New Roman" w:eastAsia="仿宋_GB2312" w:cs="Times New Roman"/>
          <w:color w:val="1C1E1B"/>
          <w:sz w:val="32"/>
          <w:szCs w:val="32"/>
        </w:rPr>
        <w:t>。</w:t>
      </w:r>
      <w:r>
        <w:rPr>
          <w:rFonts w:hint="default" w:ascii="Times New Roman" w:hAnsi="Times New Roman" w:eastAsia="仿宋_GB2312" w:cs="Times New Roman"/>
          <w:sz w:val="32"/>
          <w:szCs w:val="32"/>
        </w:rPr>
        <w:t>同时，现代化仓容占比进一步提升，大力推广绿色储粮，强化粮食科技创新</w:t>
      </w:r>
      <w:r>
        <w:rPr>
          <w:rFonts w:hint="default" w:ascii="Times New Roman" w:hAnsi="Times New Roman" w:eastAsia="仿宋_GB2312" w:cs="Times New Roman"/>
          <w:color w:val="1C1E1B"/>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2020年我</w:t>
      </w:r>
      <w:r>
        <w:rPr>
          <w:rFonts w:hint="default" w:ascii="Times New Roman" w:hAnsi="Times New Roman" w:eastAsia="仿宋_GB2312" w:cs="Times New Roman"/>
          <w:sz w:val="32"/>
          <w:szCs w:val="32"/>
        </w:rPr>
        <w:t>市市级储备库已实现了充氮气调升级改造项目，实现绿色充氮储粮新技术全覆盖。灵山县那隆储备中心库5万吨和浦北县直属粮库1.91万吨仓容已完成绿色充氮气调升级改造，科技储粮稳步推进，预计2022年各县区基本实现科技储粮，提升储粮管理水平。</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物资储备体系得到初步建立。</w:t>
      </w:r>
      <w:r>
        <w:rPr>
          <w:rFonts w:hint="default" w:ascii="Times New Roman" w:hAnsi="Times New Roman" w:eastAsia="仿宋_GB2312" w:cs="Times New Roman"/>
          <w:sz w:val="32"/>
          <w:szCs w:val="32"/>
        </w:rPr>
        <w:t>坚决贯彻落实市委机构改革决策部署，加强沟通协调，全市做好重要生活必需品、应急救灾物资、防汛抗旱物资储备职责的接手工作，建立物资储备管理制度和管理台账，物资储备做到常检查常提高。</w:t>
      </w:r>
      <w:r>
        <w:rPr>
          <w:rFonts w:hint="default" w:ascii="Times New Roman" w:hAnsi="Times New Roman" w:eastAsia="仿宋_GB2312" w:cs="Times New Roman"/>
          <w:color w:val="000000"/>
          <w:sz w:val="32"/>
          <w:szCs w:val="32"/>
        </w:rPr>
        <w:t>顺利完成全市粮食和物资储备部门的机构、人员编制等合并入发展改革部门，圆满完成了机构改革任务。</w:t>
      </w:r>
    </w:p>
    <w:p>
      <w:pPr>
        <w:pStyle w:val="3"/>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第二节  “十四五”发展面临的机遇和挑战</w:t>
      </w:r>
    </w:p>
    <w:p>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一、粮食发展机遇</w:t>
      </w:r>
    </w:p>
    <w:p>
      <w:pPr>
        <w:overflowPunct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进入新发展阶段，国内外环境发生深刻的变化，为我市粮食和物资储备行业发展带来一系列新机遇。</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党中央高度重视粮食和物资储备工作为我市粮食和物资储备行业发展提供根本遵循。</w:t>
      </w:r>
      <w:r>
        <w:rPr>
          <w:rFonts w:hint="default" w:ascii="Times New Roman" w:hAnsi="Times New Roman" w:eastAsia="仿宋_GB2312" w:cs="Times New Roman"/>
          <w:sz w:val="32"/>
          <w:szCs w:val="32"/>
        </w:rPr>
        <w:t>以习近平总书记为核心的党中央高度重视粮食和物资储备工作，从国家安全的战略高度作出一系列重要论断和重大部署，把“保障国家粮食安全”和“加强应急物资保障体系建设”写入《中共中央关于制定国民经济和社会发展第十四个五年规划和二</w:t>
      </w:r>
      <w:r>
        <w:rPr>
          <w:rFonts w:hint="default" w:ascii="Times New Roman" w:hAnsi="Times New Roman" w:eastAsia="宋体" w:cs="Times New Roman"/>
          <w:sz w:val="32"/>
          <w:szCs w:val="32"/>
        </w:rPr>
        <w:t>〇</w:t>
      </w:r>
      <w:r>
        <w:rPr>
          <w:rFonts w:hint="default" w:ascii="Times New Roman" w:hAnsi="Times New Roman" w:eastAsia="仿宋_GB2312" w:cs="Times New Roman"/>
          <w:sz w:val="32"/>
          <w:szCs w:val="32"/>
        </w:rPr>
        <w:t>三五年远景目标的建议》，为新发展阶段粮食和物资行业发展提供了根本遵循。</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建设新时代中国特色社会主义壮美广西为我市粮食和物资储备行业发展提供重要指导。</w:t>
      </w:r>
      <w:r>
        <w:rPr>
          <w:rFonts w:hint="default" w:ascii="Times New Roman" w:hAnsi="Times New Roman" w:eastAsia="仿宋_GB2312" w:cs="Times New Roman"/>
          <w:sz w:val="32"/>
          <w:szCs w:val="32"/>
        </w:rPr>
        <w:t>按照育品牌、强龙头、聚集群的总体思路，推动粮食产业升级，努力走出一条符合我市实际的粮食产业高质量发展的新路子。充分发挥我市的独特区位优势，打造面向东盟更好服务“一带一路”的粮食合作高地，在服务和融入新发展格局上展现新作为。推动粮食和物资储备行发展全面绿色转型，在推动绿色发展上迈出新步伐。夯实粮食和物资储备安全根基，在巩固发展民族团结、社会稳定、边疆安宁上彰显新担当。</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得天独厚的区域位置优势为我市粮食和物资储备行业发展提供新平台。</w:t>
      </w:r>
      <w:r>
        <w:rPr>
          <w:rFonts w:hint="default" w:ascii="Times New Roman" w:hAnsi="Times New Roman" w:eastAsia="仿宋_GB2312" w:cs="Times New Roman"/>
          <w:sz w:val="32"/>
          <w:szCs w:val="32"/>
        </w:rPr>
        <w:t>习近平总书记在视察广西“4.27”重要讲话中提出，要主动对接长江经济带发展、粤港澳大湾区建设等国家重大战略，融入共建“一带一路”，高水平共建西部陆海新通道，大力发展向海经济。自治区第十二次党代会明确提出，面朝大海、向海图强。钦州市处于广西北部湾经济区的核心位置，“一个扁担挑两头”，一头连西南、一头连东盟，是西部陆海新通道三条主通道的交汇点，是西部陆海新通道战略枢纽。钦州可以借助向海的优势，加强粮油上下游行业的招商引资力度，加强产业集聚效应，完善配套设施建设，确保粮油产业在物流、仓储等方面得到有力的保障，促进粮油运输、加工跨越式发展，为凝心聚力建设新时代中国特色社会主义壮美广西作出钦州贡献。</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《区域全面经济伙伴关系的协定》（RCEP）的签署为我市粮食和物资储备行业发展提供新空间。</w:t>
      </w:r>
      <w:r>
        <w:rPr>
          <w:rFonts w:hint="default" w:ascii="Times New Roman" w:hAnsi="Times New Roman" w:eastAsia="仿宋_GB2312" w:cs="Times New Roman"/>
          <w:sz w:val="32"/>
          <w:szCs w:val="32"/>
        </w:rPr>
        <w:t>RCEP（区域全面伙伴关系协定）生效后，设立有农产品免税等优惠条款，我国与东盟国家有望进一步扩大农产品进出口规模，拓宽粮食等农产品方面的贸易空间，钦州将充分利用“两国双园”、综合保税区等开放平台，为我市粮食和物资储备行业发展提供新的空间。</w:t>
      </w:r>
    </w:p>
    <w:p>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二、我市粮食安全面临的问题</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冠肺炎疫情全球持续蔓延加速世界百年未有之大变局的演化，不稳定性不确定性明显增加，全球粮食生产与贸易均衡格局被打破。我国社会主要矛盾已经转化为人民日益增长的美好生活需要和不平衡不充分的发展之间的矛盾，国内粮食供需结构平衡产生新的矛盾。我市作为粮食产销平衡区，粮食需求刚性增长趋势显著，粮食供给的资源约束趋紧，粮食行业发展面临诸多风险挑战。</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我市粮食和物资储备行业发展仍然不平衡不充分。</w:t>
      </w:r>
      <w:r>
        <w:rPr>
          <w:rFonts w:hint="default" w:ascii="Times New Roman" w:hAnsi="Times New Roman" w:eastAsia="仿宋_GB2312" w:cs="Times New Roman"/>
          <w:b/>
          <w:bCs/>
          <w:sz w:val="32"/>
          <w:szCs w:val="32"/>
        </w:rPr>
        <w:t>一是行业基础设施还不够完善。</w:t>
      </w:r>
      <w:r>
        <w:rPr>
          <w:rFonts w:hint="default" w:ascii="Times New Roman" w:hAnsi="Times New Roman" w:eastAsia="仿宋_GB2312" w:cs="Times New Roman"/>
          <w:sz w:val="32"/>
          <w:szCs w:val="32"/>
        </w:rPr>
        <w:t>我市粮食和物资储备基础设施现代化水平偏低，粮食和物资储备规模不够，有的县区粮食仓储设施相对陈旧落后，大部分建于上世纪70、80年代。仓房设计和建设标准较低，全市低温准低温仓容严重不足，无法满足粮食产业高质量发展的需要。市本级应急救灾物资仓还未开工建设，现阶段物资只能暂时存放在市本级储备库内，各县区救灾储备设施条件落后，储备能力建设有待进一步加快推进。</w:t>
      </w:r>
      <w:r>
        <w:rPr>
          <w:rFonts w:hint="default" w:ascii="Times New Roman" w:hAnsi="Times New Roman" w:eastAsia="仿宋_GB2312" w:cs="Times New Roman"/>
          <w:b/>
          <w:bCs/>
          <w:sz w:val="32"/>
          <w:szCs w:val="32"/>
        </w:rPr>
        <w:t>二是粮食物流体系还未形成。</w:t>
      </w:r>
      <w:r>
        <w:rPr>
          <w:rFonts w:hint="default" w:ascii="Times New Roman" w:hAnsi="Times New Roman" w:eastAsia="仿宋_GB2312" w:cs="Times New Roman"/>
          <w:sz w:val="32"/>
          <w:szCs w:val="32"/>
        </w:rPr>
        <w:t>钦南区中国—西部沿海粮食产业园项目、钦北区粮食应急分拨综合物流设施项目的功能还未形成。</w:t>
      </w:r>
      <w:r>
        <w:rPr>
          <w:rFonts w:hint="default" w:ascii="Times New Roman" w:hAnsi="Times New Roman" w:eastAsia="仿宋_GB2312" w:cs="Times New Roman"/>
          <w:b/>
          <w:bCs/>
          <w:sz w:val="32"/>
          <w:szCs w:val="32"/>
        </w:rPr>
        <w:t>三是粮食产业经济发展质量还不够高。</w:t>
      </w:r>
      <w:r>
        <w:rPr>
          <w:rFonts w:hint="default" w:ascii="Times New Roman" w:hAnsi="Times New Roman" w:eastAsia="仿宋_GB2312" w:cs="Times New Roman"/>
          <w:sz w:val="32"/>
          <w:szCs w:val="32"/>
        </w:rPr>
        <w:t>粮食加工企业，产业规模化、集约化水平不高，粮食加工企业仍处于“小、散、弱”的境况，普遍存在创新能力不足、科技含量不高、设备设施老化、抗风险能力弱、营销能力不强等问题，当地大米品牌效益还未能充分发挥。</w:t>
      </w:r>
      <w:r>
        <w:rPr>
          <w:rFonts w:hint="default" w:ascii="Times New Roman" w:hAnsi="Times New Roman" w:eastAsia="仿宋_GB2312" w:cs="Times New Roman"/>
          <w:b/>
          <w:bCs/>
          <w:sz w:val="32"/>
          <w:szCs w:val="32"/>
        </w:rPr>
        <w:t>四是粮食和物资储备系统的人才支撑还不够牢固。</w:t>
      </w:r>
      <w:r>
        <w:rPr>
          <w:rFonts w:hint="default" w:ascii="Times New Roman" w:hAnsi="Times New Roman" w:eastAsia="仿宋_GB2312" w:cs="Times New Roman"/>
          <w:sz w:val="32"/>
          <w:szCs w:val="32"/>
        </w:rPr>
        <w:t>新一轮机构改革后，机构设置、队伍力量相对薄弱，专业人才缺乏，市、县两级粮食和物资储备行政管理机构设置及人员配备与工作任务不匹配。</w:t>
      </w:r>
      <w:bookmarkStart w:id="10" w:name="_Toc73888702"/>
      <w:bookmarkStart w:id="11" w:name="_Toc10673"/>
      <w:bookmarkStart w:id="12" w:name="_Toc1146"/>
      <w:bookmarkStart w:id="13" w:name="_Toc23498"/>
      <w:bookmarkStart w:id="14" w:name="_Toc13613"/>
      <w:r>
        <w:rPr>
          <w:rFonts w:hint="default" w:ascii="Times New Roman" w:hAnsi="Times New Roman" w:eastAsia="方正小标宋简体" w:cs="Times New Roman"/>
          <w:b/>
          <w:bCs/>
        </w:rPr>
        <w:br w:type="page"/>
      </w: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第二章  指导思想、基本原则及发展目标</w:t>
      </w:r>
      <w:bookmarkEnd w:id="10"/>
      <w:bookmarkEnd w:id="11"/>
      <w:bookmarkEnd w:id="12"/>
      <w:bookmarkEnd w:id="13"/>
      <w:bookmarkEnd w:id="14"/>
    </w:p>
    <w:p>
      <w:pPr>
        <w:pStyle w:val="3"/>
        <w:tabs>
          <w:tab w:val="center" w:pos="4423"/>
          <w:tab w:val="right" w:pos="8846"/>
        </w:tabs>
        <w:overflowPunct w:val="0"/>
        <w:spacing w:after="200" w:line="560" w:lineRule="exact"/>
        <w:jc w:val="left"/>
        <w:rPr>
          <w:rFonts w:hint="default" w:ascii="Times New Roman" w:hAnsi="Times New Roman" w:eastAsia="仿宋_GB2312" w:cs="Times New Roman"/>
          <w:b w:val="0"/>
          <w:bCs w:val="0"/>
        </w:rPr>
      </w:pPr>
      <w:bookmarkStart w:id="15" w:name="_Toc1862"/>
      <w:bookmarkStart w:id="16" w:name="_Toc82"/>
      <w:bookmarkStart w:id="17" w:name="_Toc73888703"/>
      <w:bookmarkStart w:id="18" w:name="_Toc10502"/>
      <w:bookmarkStart w:id="19" w:name="_Toc10316"/>
      <w:r>
        <w:rPr>
          <w:rFonts w:hint="default" w:ascii="Times New Roman" w:hAnsi="Times New Roman" w:eastAsia="黑体" w:cs="Times New Roman"/>
          <w:b w:val="0"/>
          <w:bCs w:val="0"/>
        </w:rPr>
        <w:tab/>
      </w:r>
    </w:p>
    <w:p>
      <w:pPr>
        <w:pStyle w:val="3"/>
        <w:tabs>
          <w:tab w:val="center" w:pos="4423"/>
          <w:tab w:val="right" w:pos="8846"/>
        </w:tabs>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第一节  指导思想</w:t>
      </w:r>
      <w:bookmarkEnd w:id="15"/>
      <w:bookmarkEnd w:id="16"/>
      <w:bookmarkEnd w:id="17"/>
      <w:bookmarkEnd w:id="18"/>
      <w:bookmarkEnd w:id="19"/>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坚持以习近平新时代中国特色社会主义思想为指导，深入贯彻习近平总书记对广西工作系列重要讲话指示精神，全面贯彻党的十九大和十九届</w:t>
      </w:r>
      <w:r>
        <w:rPr>
          <w:rFonts w:hint="default" w:ascii="Times New Roman" w:hAnsi="Times New Roman" w:eastAsia="仿宋_GB2312" w:cs="Times New Roman"/>
          <w:sz w:val="32"/>
          <w:szCs w:val="32"/>
          <w:lang w:eastAsia="zh-CN"/>
        </w:rPr>
        <w:t>历次</w:t>
      </w:r>
      <w:r>
        <w:rPr>
          <w:rFonts w:hint="default" w:ascii="Times New Roman" w:hAnsi="Times New Roman" w:eastAsia="仿宋_GB2312" w:cs="Times New Roman"/>
          <w:sz w:val="32"/>
          <w:szCs w:val="32"/>
        </w:rPr>
        <w:t>全会精神，紧紧围绕“建设新时代中国特色社会主义壮美广西”总目标、“四个新”总要求和四个方面重要工作要求，坚持统筹发展与安全，牢牢把握新发展阶段、贯彻新发展理念、融入新发展格局，以供给侧结构性改革为主线，充分发挥钦州沿海的区位优势、得天独厚的自然资源优势，实施以效益强保障、以流通稳保障、以治理优保障的发展战略，构建更高层次、更高质量、更有效率、更可持续的粮食安全和物资储备安全保障体系，切实提升粮食和物资安全保障能力。</w:t>
      </w:r>
    </w:p>
    <w:p>
      <w:pPr>
        <w:pStyle w:val="3"/>
        <w:overflowPunct w:val="0"/>
        <w:spacing w:after="200" w:line="560" w:lineRule="exact"/>
        <w:jc w:val="center"/>
        <w:rPr>
          <w:rFonts w:hint="default" w:ascii="Times New Roman" w:hAnsi="Times New Roman" w:eastAsia="黑体" w:cs="Times New Roman"/>
          <w:b w:val="0"/>
          <w:bCs w:val="0"/>
        </w:rPr>
      </w:pPr>
      <w:bookmarkStart w:id="20" w:name="_Toc28373"/>
      <w:bookmarkStart w:id="21" w:name="_Toc2330"/>
      <w:bookmarkStart w:id="22" w:name="_Toc24206"/>
      <w:bookmarkStart w:id="23" w:name="_Toc20426"/>
      <w:bookmarkStart w:id="24" w:name="_Toc73888704"/>
      <w:r>
        <w:rPr>
          <w:rFonts w:hint="default" w:ascii="Times New Roman" w:hAnsi="Times New Roman" w:eastAsia="黑体" w:cs="Times New Roman"/>
          <w:b w:val="0"/>
          <w:bCs w:val="0"/>
        </w:rPr>
        <w:t>第二节  基本原则</w:t>
      </w:r>
      <w:bookmarkEnd w:id="20"/>
      <w:bookmarkEnd w:id="21"/>
      <w:bookmarkEnd w:id="22"/>
      <w:bookmarkEnd w:id="23"/>
      <w:bookmarkEnd w:id="24"/>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——坚持底线思维。</w:t>
      </w:r>
      <w:r>
        <w:rPr>
          <w:rFonts w:hint="default" w:ascii="Times New Roman" w:hAnsi="Times New Roman" w:eastAsia="仿宋_GB2312" w:cs="Times New Roman"/>
          <w:sz w:val="32"/>
          <w:szCs w:val="32"/>
        </w:rPr>
        <w:t>增强风险意识，树立底线思维，做到居安思危，聚焦粮食和物资储备安全的核心职能，加快行业高质量发展，充分发挥建设新时代中国特色社会主义壮美广西“压舱石”和“稳定器”作用。</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——坚持深化改革开放。</w:t>
      </w:r>
      <w:r>
        <w:rPr>
          <w:rFonts w:hint="default" w:ascii="Times New Roman" w:hAnsi="Times New Roman" w:eastAsia="仿宋_GB2312" w:cs="Times New Roman"/>
          <w:sz w:val="32"/>
          <w:szCs w:val="32"/>
        </w:rPr>
        <w:t>实行党政同责，强化粮食安全首长责任制。加快实施科技和人才兴粮兴储，强化粮食质量安全保障，推进“数字粮储”建设，严格执法监管，守住管好全市粮食安全。</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——坚持系统观念。</w:t>
      </w:r>
      <w:r>
        <w:rPr>
          <w:rFonts w:hint="default" w:ascii="Times New Roman" w:hAnsi="Times New Roman" w:eastAsia="仿宋_GB2312" w:cs="Times New Roman"/>
          <w:sz w:val="32"/>
          <w:szCs w:val="32"/>
        </w:rPr>
        <w:t>胸怀“两个大局”，统筹把握“多”与“少”、“质”与“量”、生产与流通、当前与长远、政府与市场、国内与国外六对关系，着力固根基、扬优势、补短板、强弱项，强化“产购储加销”协同保障，牢牢扛稳粮食安全的重任，实现发展质量、结构、规模、安全相统一。</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——坚持开放发展理念。</w:t>
      </w:r>
      <w:r>
        <w:rPr>
          <w:rFonts w:hint="default" w:ascii="Times New Roman" w:hAnsi="Times New Roman" w:eastAsia="仿宋_GB2312" w:cs="Times New Roman"/>
          <w:sz w:val="32"/>
          <w:szCs w:val="32"/>
        </w:rPr>
        <w:t>引入社会投资，鼓励符合条件的多元市场主体参与钦州“粮安工程”建设，充实“粮安工程”建设资金来源，拓展钦州粮食行业发展空间。鼓励和引导多元市场主体参与政策性粮食收购，提高粮食产业质量效益和竞争力，更好满足人民群众从“吃得饱”到“吃得好”的消费需求。</w:t>
      </w:r>
    </w:p>
    <w:p>
      <w:pPr>
        <w:pStyle w:val="3"/>
        <w:overflowPunct w:val="0"/>
        <w:spacing w:after="200" w:line="560" w:lineRule="exact"/>
        <w:jc w:val="center"/>
        <w:rPr>
          <w:rFonts w:hint="default" w:ascii="Times New Roman" w:hAnsi="Times New Roman" w:eastAsia="黑体" w:cs="Times New Roman"/>
          <w:b w:val="0"/>
          <w:bCs w:val="0"/>
        </w:rPr>
      </w:pPr>
      <w:bookmarkStart w:id="25" w:name="_Toc11970"/>
      <w:bookmarkStart w:id="26" w:name="_Toc29659"/>
      <w:bookmarkStart w:id="27" w:name="_Toc5663"/>
      <w:bookmarkStart w:id="28" w:name="_Toc73888705"/>
      <w:bookmarkStart w:id="29" w:name="_Toc16083"/>
      <w:r>
        <w:rPr>
          <w:rFonts w:hint="default" w:ascii="Times New Roman" w:hAnsi="Times New Roman" w:eastAsia="黑体" w:cs="Times New Roman"/>
          <w:b w:val="0"/>
          <w:bCs w:val="0"/>
        </w:rPr>
        <w:t>第三节  主要目标</w:t>
      </w:r>
      <w:bookmarkEnd w:id="25"/>
      <w:bookmarkEnd w:id="26"/>
      <w:bookmarkEnd w:id="27"/>
      <w:bookmarkEnd w:id="28"/>
      <w:bookmarkEnd w:id="29"/>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w:t>
      </w:r>
      <w:r>
        <w:rPr>
          <w:rFonts w:hint="default" w:ascii="Times New Roman" w:hAnsi="Times New Roman" w:eastAsia="楷体_GB2312" w:cs="Times New Roman"/>
          <w:b/>
          <w:sz w:val="32"/>
          <w:szCs w:val="32"/>
        </w:rPr>
        <w:t>统筹发展与安全，推动粮食和物资储备安全保障水平迈上新台阶。</w:t>
      </w:r>
      <w:r>
        <w:rPr>
          <w:rFonts w:hint="default" w:ascii="Times New Roman" w:hAnsi="Times New Roman" w:eastAsia="仿宋_GB2312" w:cs="Times New Roman"/>
          <w:sz w:val="32"/>
          <w:szCs w:val="32"/>
        </w:rPr>
        <w:t>粮食和物资储备基础设施更加完善，体系更加健全，粮食宏观调控能力明显提高，应对台风、水灾、重大疫情等突发事件能力进一步增强。</w:t>
      </w:r>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——全面深化改革开放，促进粮食产业经济高质量发展取得新成效。</w:t>
      </w:r>
      <w:r>
        <w:rPr>
          <w:rFonts w:hint="default" w:ascii="Times New Roman" w:hAnsi="Times New Roman" w:eastAsia="仿宋_GB2312" w:cs="Times New Roman"/>
          <w:sz w:val="32"/>
          <w:szCs w:val="32"/>
        </w:rPr>
        <w:t>加快粮食产业转型升级，</w:t>
      </w:r>
      <w:r>
        <w:rPr>
          <w:rFonts w:hint="default" w:ascii="Times New Roman" w:hAnsi="Times New Roman" w:eastAsia="仿宋_GB2312" w:cs="Times New Roman"/>
          <w:color w:val="000000"/>
          <w:sz w:val="32"/>
          <w:szCs w:val="32"/>
        </w:rPr>
        <w:t>粮油精深加工转化和副产品综合利</w:t>
      </w:r>
      <w:r>
        <w:rPr>
          <w:rFonts w:hint="default" w:ascii="Times New Roman" w:hAnsi="Times New Roman" w:eastAsia="仿宋_GB2312" w:cs="Times New Roman"/>
          <w:sz w:val="32"/>
          <w:szCs w:val="32"/>
        </w:rPr>
        <w:t>用发展迈上新台阶，粮食全产业链构建取得积极进展，粮食产业强市基本形成。</w:t>
      </w:r>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——持续增进民生福祉，推动发展粮食和物资储备行业发展成果惠及更多人民。</w:t>
      </w:r>
      <w:r>
        <w:rPr>
          <w:rFonts w:hint="default" w:ascii="Times New Roman" w:hAnsi="Times New Roman" w:eastAsia="仿宋_GB2312" w:cs="Times New Roman"/>
          <w:sz w:val="32"/>
          <w:szCs w:val="32"/>
        </w:rPr>
        <w:t>优质粮食工程深入实施，种粮收入得到持续增加，种粮积极性进一步增强，人们对优质粮食的需求得到有效满足。</w:t>
      </w:r>
    </w:p>
    <w:p>
      <w:pPr>
        <w:overflowPunct w:val="0"/>
        <w:spacing w:line="560" w:lineRule="exact"/>
        <w:ind w:firstLine="630" w:firstLineChars="196"/>
        <w:rPr>
          <w:rFonts w:hint="default" w:ascii="Times New Roman" w:hAnsi="Times New Roman" w:eastAsia="仿宋" w:cs="Times New Roman"/>
          <w:sz w:val="32"/>
          <w:szCs w:val="32"/>
        </w:rPr>
      </w:pPr>
      <w:r>
        <w:rPr>
          <w:rFonts w:hint="default" w:ascii="Times New Roman" w:hAnsi="Times New Roman" w:eastAsia="楷体_GB2312" w:cs="Times New Roman"/>
          <w:b/>
          <w:sz w:val="32"/>
          <w:szCs w:val="32"/>
        </w:rPr>
        <w:t>——深化体制改革，推动粮食和物资储备行业治理效能得到新提升。</w:t>
      </w:r>
      <w:r>
        <w:rPr>
          <w:rFonts w:hint="default" w:ascii="Times New Roman" w:hAnsi="Times New Roman" w:eastAsia="仿宋_GB2312" w:cs="Times New Roman"/>
          <w:sz w:val="32"/>
          <w:szCs w:val="32"/>
        </w:rPr>
        <w:t>粮食安全保障地方条例物资储备规章制度得到完善，执法监管水平得到提升，节粮减损行动成效显著，粮食和物资储备行业治理能力得到显著增强。</w:t>
      </w:r>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 xml:space="preserve">   </w:t>
      </w:r>
      <w:r>
        <w:rPr>
          <w:rFonts w:hint="default" w:ascii="Times New Roman" w:hAnsi="Times New Roman" w:eastAsia="楷体_GB2312" w:cs="Times New Roman"/>
          <w:b/>
          <w:sz w:val="32"/>
          <w:szCs w:val="32"/>
        </w:rPr>
        <w:t>——优化治理体系，提升粮食和物资储备保障的效能。</w:t>
      </w:r>
      <w:r>
        <w:rPr>
          <w:rFonts w:hint="default" w:ascii="Times New Roman" w:hAnsi="Times New Roman" w:eastAsia="仿宋_GB2312" w:cs="Times New Roman"/>
          <w:sz w:val="32"/>
          <w:szCs w:val="32"/>
        </w:rPr>
        <w:t>积极引导社会主体参与粮食和物资储备行业，优化粮食和物资储备布局，创新体制机制，积极利用信息技术提升储备管理水平，提升粮食和物资储备治理效能。</w:t>
      </w:r>
    </w:p>
    <w:p>
      <w:pPr>
        <w:spacing w:before="120" w:beforeLines="50" w:after="120" w:afterLines="50" w:line="560" w:lineRule="exact"/>
        <w:jc w:val="center"/>
        <w:rPr>
          <w:rFonts w:hint="default" w:ascii="Times New Roman" w:hAnsi="Times New Roman" w:eastAsia="仿宋_GB2312" w:cs="Times New Roman"/>
          <w:b/>
          <w:color w:val="000000"/>
          <w:sz w:val="32"/>
          <w:szCs w:val="32"/>
        </w:rPr>
      </w:pPr>
      <w:bookmarkStart w:id="30" w:name="_Toc26441"/>
      <w:bookmarkStart w:id="31" w:name="_Toc22622"/>
      <w:bookmarkStart w:id="32" w:name="_Toc17034"/>
      <w:bookmarkStart w:id="33" w:name="_Toc73888707"/>
      <w:r>
        <w:rPr>
          <w:rFonts w:hint="default" w:ascii="Times New Roman" w:hAnsi="Times New Roman" w:eastAsia="仿宋_GB2312" w:cs="Times New Roman"/>
          <w:b/>
          <w:color w:val="000000"/>
          <w:sz w:val="32"/>
          <w:szCs w:val="32"/>
        </w:rPr>
        <w:t>“十四五’’时期钦州粮食行业发展主要指标</w:t>
      </w:r>
    </w:p>
    <w:tbl>
      <w:tblPr>
        <w:tblStyle w:val="14"/>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3725"/>
        <w:gridCol w:w="1200"/>
        <w:gridCol w:w="137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33" w:type="dxa"/>
            <w:vAlign w:val="center"/>
          </w:tcPr>
          <w:p>
            <w:pPr>
              <w:spacing w:line="560" w:lineRule="exact"/>
              <w:jc w:val="center"/>
              <w:rPr>
                <w:rFonts w:hint="default" w:ascii="Times New Roman" w:hAnsi="Times New Roman" w:eastAsia="黑体" w:cs="Times New Roman"/>
                <w:bCs/>
                <w:color w:val="000000"/>
                <w:sz w:val="28"/>
                <w:szCs w:val="28"/>
              </w:rPr>
            </w:pPr>
            <w:bookmarkStart w:id="34" w:name="_Toc7643"/>
            <w:r>
              <w:rPr>
                <w:rFonts w:hint="default" w:ascii="Times New Roman" w:hAnsi="Times New Roman" w:eastAsia="黑体" w:cs="Times New Roman"/>
                <w:bCs/>
                <w:color w:val="000000"/>
                <w:sz w:val="28"/>
                <w:szCs w:val="28"/>
              </w:rPr>
              <w:t>一级指标</w:t>
            </w:r>
          </w:p>
        </w:tc>
        <w:tc>
          <w:tcPr>
            <w:tcW w:w="3725" w:type="dxa"/>
            <w:vAlign w:val="center"/>
          </w:tcPr>
          <w:p>
            <w:pPr>
              <w:spacing w:line="560" w:lineRule="exact"/>
              <w:jc w:val="center"/>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二级指标</w:t>
            </w:r>
          </w:p>
        </w:tc>
        <w:tc>
          <w:tcPr>
            <w:tcW w:w="1200" w:type="dxa"/>
            <w:vAlign w:val="center"/>
          </w:tcPr>
          <w:p>
            <w:pPr>
              <w:spacing w:line="560" w:lineRule="exact"/>
              <w:jc w:val="center"/>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单 位</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“十三五”期末</w:t>
            </w:r>
          </w:p>
        </w:tc>
        <w:tc>
          <w:tcPr>
            <w:tcW w:w="14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2025年规划指标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粮食宏观调控能力</w:t>
            </w: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收购直补订单粮食</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万吨/年</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4.58</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ind w:left="1182" w:hanging="1181" w:hangingChars="422"/>
              <w:jc w:val="center"/>
              <w:rPr>
                <w:rFonts w:hint="default" w:ascii="Times New Roman" w:hAnsi="Times New Roman" w:eastAsia="仿宋_GB2312" w:cs="Times New Roman"/>
                <w:color w:val="000000"/>
                <w:sz w:val="28"/>
                <w:szCs w:val="28"/>
              </w:rPr>
            </w:pPr>
          </w:p>
        </w:tc>
        <w:tc>
          <w:tcPr>
            <w:tcW w:w="3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地方（市县级）粮食储备规模（原粮）</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万吨</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5.78</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ind w:left="1182" w:hanging="1181" w:hangingChars="422"/>
              <w:jc w:val="center"/>
              <w:rPr>
                <w:rFonts w:hint="default" w:ascii="Times New Roman" w:hAnsi="Times New Roman" w:eastAsia="仿宋_GB2312" w:cs="Times New Roman"/>
                <w:color w:val="000000"/>
                <w:sz w:val="28"/>
                <w:szCs w:val="28"/>
              </w:rPr>
            </w:pPr>
          </w:p>
        </w:tc>
        <w:tc>
          <w:tcPr>
            <w:tcW w:w="3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地方食用油储备规模</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吨</w:t>
            </w:r>
          </w:p>
        </w:tc>
        <w:tc>
          <w:tcPr>
            <w:tcW w:w="1375" w:type="dxa"/>
            <w:vAlign w:val="center"/>
          </w:tcPr>
          <w:p>
            <w:pPr>
              <w:spacing w:line="560" w:lineRule="exact"/>
              <w:jc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0</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jc w:val="center"/>
              <w:rPr>
                <w:rFonts w:hint="default" w:ascii="Times New Roman" w:hAnsi="Times New Roman" w:eastAsia="仿宋_GB2312" w:cs="Times New Roman"/>
                <w:b/>
                <w:bCs/>
                <w:color w:val="000000"/>
                <w:sz w:val="28"/>
                <w:szCs w:val="28"/>
              </w:rPr>
            </w:pP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粮食应急加工企业</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jc w:val="center"/>
              <w:rPr>
                <w:rFonts w:hint="default" w:ascii="Times New Roman" w:hAnsi="Times New Roman" w:eastAsia="仿宋_GB2312" w:cs="Times New Roman"/>
                <w:b/>
                <w:bCs/>
                <w:color w:val="000000"/>
                <w:sz w:val="28"/>
                <w:szCs w:val="28"/>
              </w:rPr>
            </w:pP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粮食应急供应网点</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65</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粮食产业发展水平</w:t>
            </w: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国有粮食企业生产主营业务</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亿元</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1.39</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物资储备保障能力</w:t>
            </w:r>
          </w:p>
        </w:tc>
        <w:tc>
          <w:tcPr>
            <w:tcW w:w="3725" w:type="dxa"/>
            <w:vAlign w:val="center"/>
          </w:tcPr>
          <w:p>
            <w:pPr>
              <w:widowControl/>
              <w:overflowPunct w:val="0"/>
              <w:spacing w:line="5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物资储备规模落实率（%）</w:t>
            </w:r>
          </w:p>
        </w:tc>
        <w:tc>
          <w:tcPr>
            <w:tcW w:w="1200" w:type="dxa"/>
            <w:vAlign w:val="center"/>
          </w:tcPr>
          <w:p>
            <w:pPr>
              <w:widowControl/>
              <w:overflowPunct w:val="0"/>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1375" w:type="dxa"/>
            <w:vAlign w:val="center"/>
          </w:tcPr>
          <w:p>
            <w:pPr>
              <w:widowControl/>
              <w:overflowPunct w:val="0"/>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粮食仓储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建设</w:t>
            </w: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国有粮食完好仓容</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万吨</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22.09</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33" w:type="dxa"/>
            <w:vMerge w:val="continue"/>
          </w:tcPr>
          <w:p>
            <w:pPr>
              <w:spacing w:line="560" w:lineRule="exact"/>
              <w:jc w:val="center"/>
              <w:rPr>
                <w:rFonts w:hint="default" w:ascii="Times New Roman" w:hAnsi="Times New Roman" w:eastAsia="仿宋_GB2312" w:cs="Times New Roman"/>
                <w:color w:val="000000"/>
                <w:sz w:val="28"/>
                <w:szCs w:val="28"/>
              </w:rPr>
            </w:pP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县级以上监督检查机构数量</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633" w:type="dxa"/>
            <w:vMerge w:val="continue"/>
          </w:tcPr>
          <w:p>
            <w:pPr>
              <w:spacing w:line="560" w:lineRule="exact"/>
              <w:jc w:val="center"/>
              <w:rPr>
                <w:rFonts w:hint="default" w:ascii="Times New Roman" w:hAnsi="Times New Roman" w:eastAsia="仿宋_GB2312" w:cs="Times New Roman"/>
                <w:color w:val="000000"/>
                <w:sz w:val="28"/>
                <w:szCs w:val="28"/>
              </w:rPr>
            </w:pPr>
          </w:p>
        </w:tc>
        <w:tc>
          <w:tcPr>
            <w:tcW w:w="3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市级以上粮食检验检测机构</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r>
    </w:tbl>
    <w:p>
      <w:pPr>
        <w:pStyle w:val="2"/>
        <w:keepNext w:val="0"/>
        <w:keepLines w:val="0"/>
        <w:overflowPunct w:val="0"/>
        <w:adjustRightInd/>
        <w:snapToGrid/>
        <w:spacing w:before="0" w:after="0"/>
        <w:ind w:firstLine="562" w:firstLineChars="200"/>
        <w:rPr>
          <w:rFonts w:hint="default" w:ascii="Times New Roman" w:hAnsi="Times New Roman" w:cs="Times New Roman"/>
          <w:sz w:val="28"/>
          <w:szCs w:val="28"/>
        </w:rPr>
        <w:sectPr>
          <w:pgSz w:w="11907" w:h="16840"/>
          <w:pgMar w:top="1587" w:right="1474" w:bottom="1474" w:left="1587" w:header="851" w:footer="992" w:gutter="0"/>
          <w:pgNumType w:fmt="numberInDash"/>
          <w:cols w:space="425" w:num="1"/>
          <w:docGrid w:linePitch="579" w:charSpace="-849"/>
        </w:sectPr>
      </w:pP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第三章  健全粮食宏观调控体系，</w:t>
      </w:r>
      <w:bookmarkEnd w:id="30"/>
      <w:bookmarkEnd w:id="31"/>
      <w:bookmarkEnd w:id="32"/>
      <w:bookmarkEnd w:id="34"/>
    </w:p>
    <w:p>
      <w:pPr>
        <w:pStyle w:val="2"/>
        <w:overflowPunct w:val="0"/>
        <w:spacing w:before="120" w:beforeLines="50" w:after="120" w:afterLines="50"/>
        <w:jc w:val="center"/>
        <w:rPr>
          <w:rFonts w:hint="default" w:ascii="Times New Roman" w:hAnsi="Times New Roman" w:eastAsia="方正小标宋简体" w:cs="Times New Roman"/>
          <w:b w:val="0"/>
          <w:bCs w:val="0"/>
        </w:rPr>
      </w:pPr>
      <w:bookmarkStart w:id="35" w:name="_Toc7498"/>
      <w:bookmarkStart w:id="36" w:name="_Toc28498"/>
      <w:bookmarkStart w:id="37" w:name="_Toc8056"/>
      <w:bookmarkStart w:id="38" w:name="_Toc13842"/>
      <w:bookmarkStart w:id="39" w:name="_Toc16515"/>
      <w:r>
        <w:rPr>
          <w:rFonts w:hint="default" w:ascii="Times New Roman" w:hAnsi="Times New Roman" w:eastAsia="方正小标宋简体" w:cs="Times New Roman"/>
          <w:b w:val="0"/>
          <w:bCs w:val="0"/>
        </w:rPr>
        <w:t>增强保供稳市能力</w:t>
      </w:r>
      <w:bookmarkEnd w:id="33"/>
      <w:bookmarkEnd w:id="35"/>
      <w:bookmarkEnd w:id="36"/>
      <w:bookmarkEnd w:id="37"/>
      <w:bookmarkEnd w:id="38"/>
      <w:bookmarkEnd w:id="39"/>
    </w:p>
    <w:p>
      <w:pPr>
        <w:pStyle w:val="3"/>
        <w:overflowPunct w:val="0"/>
        <w:spacing w:after="200"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p>
    <w:p>
      <w:pPr>
        <w:pStyle w:val="3"/>
        <w:overflowPunct w:val="0"/>
        <w:spacing w:after="200"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深化粮食收储制度改革，健全粮食储备调节体系，构建新型粮食市场监测预警体系，增强我市保供稳市能力。</w:t>
      </w:r>
    </w:p>
    <w:p>
      <w:pPr>
        <w:pStyle w:val="3"/>
        <w:overflowPunct w:val="0"/>
        <w:spacing w:after="200" w:line="560" w:lineRule="exact"/>
        <w:jc w:val="center"/>
        <w:rPr>
          <w:rFonts w:hint="default" w:ascii="Times New Roman" w:hAnsi="Times New Roman" w:eastAsia="黑体" w:cs="Times New Roman"/>
          <w:b w:val="0"/>
          <w:bCs w:val="0"/>
        </w:rPr>
      </w:pPr>
      <w:bookmarkStart w:id="40" w:name="_Toc516"/>
      <w:bookmarkStart w:id="41" w:name="_Toc25621"/>
      <w:bookmarkStart w:id="42" w:name="_Toc26588"/>
      <w:bookmarkStart w:id="43" w:name="_Toc73888708"/>
      <w:bookmarkStart w:id="44" w:name="_Toc31788"/>
      <w:r>
        <w:rPr>
          <w:rFonts w:hint="default" w:ascii="Times New Roman" w:hAnsi="Times New Roman" w:eastAsia="黑体" w:cs="Times New Roman"/>
          <w:b w:val="0"/>
          <w:bCs w:val="0"/>
        </w:rPr>
        <w:t>第一节  深化粮食收储制度改革</w:t>
      </w:r>
      <w:bookmarkEnd w:id="40"/>
      <w:bookmarkEnd w:id="41"/>
      <w:bookmarkEnd w:id="42"/>
      <w:bookmarkEnd w:id="43"/>
      <w:bookmarkEnd w:id="44"/>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深入推进粮食价格形成机制改革。</w:t>
      </w:r>
      <w:r>
        <w:rPr>
          <w:rFonts w:hint="default" w:ascii="Times New Roman" w:hAnsi="Times New Roman" w:eastAsia="仿宋_GB2312" w:cs="Times New Roman"/>
          <w:sz w:val="32"/>
          <w:szCs w:val="32"/>
        </w:rPr>
        <w:t>坚持市场化改革和保护农民利益并重的原则，完善稻谷最低收购价政策，合理确定价格水平。鼓励粮食贸易、储备、加工企业等多元市场主体入市，建立健全优粮优价的市场运行机制，进一步激发市场活力，牢牢守住农民“种粮卖得出”的底线。</w:t>
      </w:r>
      <w:r>
        <w:rPr>
          <w:rFonts w:hint="default" w:ascii="Times New Roman" w:hAnsi="Times New Roman" w:eastAsia="楷体_GB2312" w:cs="Times New Roman"/>
          <w:b/>
          <w:sz w:val="32"/>
          <w:szCs w:val="32"/>
        </w:rPr>
        <w:t>严格落实地方粮食储备规模。</w:t>
      </w:r>
      <w:r>
        <w:rPr>
          <w:rFonts w:hint="default" w:ascii="Times New Roman" w:hAnsi="Times New Roman" w:eastAsia="仿宋_GB2312" w:cs="Times New Roman"/>
          <w:sz w:val="32"/>
          <w:szCs w:val="32"/>
        </w:rPr>
        <w:t>立足粮食产销平衡区的实情，根据我市粮食安全和保供稳价需要，调整优化地方粮油储备规模，严守粮食安全底线。完善稻谷补贴与储备粮订单收购政策，保障粮源稳定。每年收购计划安排不低于5.</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万吨。稳步推进粮食收购资金来源多元化，满足粮食</w:t>
      </w:r>
      <w:r>
        <w:rPr>
          <w:rFonts w:hint="default" w:ascii="Times New Roman" w:hAnsi="Times New Roman" w:eastAsia="仿宋_GB2312" w:cs="Times New Roman"/>
          <w:color w:val="000000"/>
          <w:sz w:val="32"/>
          <w:szCs w:val="32"/>
        </w:rPr>
        <w:t>收购资金需求。</w:t>
      </w:r>
      <w:r>
        <w:rPr>
          <w:rFonts w:hint="default" w:ascii="Times New Roman" w:hAnsi="Times New Roman" w:eastAsia="楷体_GB2312" w:cs="Times New Roman"/>
          <w:b/>
          <w:sz w:val="32"/>
          <w:szCs w:val="32"/>
        </w:rPr>
        <w:t>创新粮食收购方式。</w:t>
      </w:r>
      <w:r>
        <w:rPr>
          <w:rFonts w:hint="default" w:ascii="Times New Roman" w:hAnsi="Times New Roman" w:eastAsia="仿宋_GB2312" w:cs="Times New Roman"/>
          <w:color w:val="000000"/>
          <w:sz w:val="32"/>
          <w:szCs w:val="32"/>
        </w:rPr>
        <w:t>适应粮食生产组织方式变化，鼓励企业开展市场化自营收购，引导企业与种粮大户、家庭农场、农民合作社等新兴粮食生产经营主体对接，开展订单收购、预约收购、代收代储、代加工等个性化服务，构建渠道稳定、运行规范、方便农民的新型粮食收购网络体系。依法开展粮食收购资格审核，规范收购秩序。</w:t>
      </w:r>
      <w:r>
        <w:rPr>
          <w:rFonts w:hint="default" w:ascii="Times New Roman" w:hAnsi="Times New Roman" w:eastAsia="楷体_GB2312" w:cs="Times New Roman"/>
          <w:b/>
          <w:sz w:val="32"/>
          <w:szCs w:val="32"/>
        </w:rPr>
        <w:t>深化粮食收储制度改革。</w:t>
      </w:r>
      <w:r>
        <w:rPr>
          <w:rFonts w:hint="default" w:ascii="Times New Roman" w:hAnsi="Times New Roman" w:eastAsia="仿宋_GB2312" w:cs="Times New Roman"/>
          <w:sz w:val="32"/>
          <w:szCs w:val="32"/>
        </w:rPr>
        <w:t>健全粮食储备管理体制机制，提高储备能力，构建新型粮食市场监测预警体系，提升粮食应急保障能力，夯实宏观调控根基，守住粮食安全底线。</w:t>
      </w:r>
    </w:p>
    <w:p>
      <w:pPr>
        <w:pStyle w:val="3"/>
        <w:spacing w:before="120" w:after="120" w:line="560" w:lineRule="exact"/>
        <w:jc w:val="center"/>
        <w:rPr>
          <w:rFonts w:hint="default" w:ascii="Times New Roman" w:hAnsi="Times New Roman" w:eastAsia="黑体" w:cs="Times New Roman"/>
          <w:b w:val="0"/>
          <w:bCs w:val="0"/>
        </w:rPr>
      </w:pPr>
      <w:bookmarkStart w:id="45" w:name="_Toc6497"/>
      <w:r>
        <w:rPr>
          <w:rFonts w:hint="default" w:ascii="Times New Roman" w:hAnsi="Times New Roman" w:eastAsia="黑体" w:cs="Times New Roman"/>
          <w:b w:val="0"/>
          <w:bCs w:val="0"/>
        </w:rPr>
        <w:t>第二节  健全粮食储备调节体系</w:t>
      </w:r>
      <w:bookmarkEnd w:id="45"/>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楷体_GB2312" w:cs="Times New Roman"/>
          <w:b/>
          <w:sz w:val="32"/>
          <w:szCs w:val="32"/>
        </w:rPr>
        <w:t xml:space="preserve"> 创新和健全粮食储备调节体系。</w:t>
      </w:r>
      <w:r>
        <w:rPr>
          <w:rFonts w:hint="default" w:ascii="Times New Roman" w:hAnsi="Times New Roman" w:eastAsia="仿宋_GB2312" w:cs="Times New Roman"/>
          <w:color w:val="000000"/>
          <w:sz w:val="32"/>
          <w:szCs w:val="32"/>
        </w:rPr>
        <w:t>积极利用市内外市场和资源，灵活运用多种调控方式，保障国家粮食供求稳定。准确把握粮食供求形势变化，加强政策预研储备，备好用好粮食调控“工具箱’’，有效防范风险。</w:t>
      </w:r>
      <w:r>
        <w:rPr>
          <w:rFonts w:hint="default" w:ascii="Times New Roman" w:hAnsi="Times New Roman" w:eastAsia="楷体_GB2312" w:cs="Times New Roman"/>
          <w:b/>
          <w:sz w:val="32"/>
          <w:szCs w:val="32"/>
        </w:rPr>
        <w:t>建立储备粮协同运作机制</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color w:val="000000"/>
          <w:sz w:val="32"/>
          <w:szCs w:val="32"/>
        </w:rPr>
        <w:t>加强与各县（区）交流储备粮轮换信息，使各级储备粮协同运作、功能互补，形成调控合力，提高市场调控的精准性。健全市、县（区）二级储备粮管理制度，加强对储备粮油监管，提高储备粮管理水平，保证储备粮油数量真实、质量良好、储存安全。</w:t>
      </w:r>
      <w:r>
        <w:rPr>
          <w:rFonts w:hint="default" w:ascii="Times New Roman" w:hAnsi="Times New Roman" w:eastAsia="仿宋_GB2312" w:cs="Times New Roman"/>
          <w:b/>
          <w:color w:val="000000"/>
          <w:sz w:val="32"/>
          <w:szCs w:val="32"/>
        </w:rPr>
        <w:t>构建政府储备与企业储备协同体系。</w:t>
      </w:r>
      <w:r>
        <w:rPr>
          <w:rFonts w:hint="default" w:ascii="Times New Roman" w:hAnsi="Times New Roman" w:eastAsia="仿宋_GB2312" w:cs="Times New Roman"/>
          <w:color w:val="000000"/>
          <w:sz w:val="32"/>
          <w:szCs w:val="32"/>
        </w:rPr>
        <w:t>按照社会共担粮食储备责任的原则，鼓励符合条件的多元市场主体参与地方粮食储备相关工作，建立规模以上粮食加工企业社会责任储备。科学统筹政府储备、企业社会责任储备、企业商业周转储备功能，把地方储备打造成调节区域粮食市场供求和应对局部应急状况的“第一道防线”，把社会责任储备打造成调节区域粮食市场供求的“缓冲器”，构建政府储备与企业储备互为补充、协同发展的新格局。</w:t>
      </w:r>
    </w:p>
    <w:p>
      <w:pPr>
        <w:pStyle w:val="3"/>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第三节  构建新型粮食市场监测预警体系</w:t>
      </w:r>
    </w:p>
    <w:p>
      <w:pPr>
        <w:overflowPunct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全面监测粮食市场动态数据信息。</w:t>
      </w:r>
      <w:r>
        <w:rPr>
          <w:rFonts w:hint="default" w:ascii="Times New Roman" w:hAnsi="Times New Roman" w:eastAsia="仿宋_GB2312" w:cs="Times New Roman"/>
          <w:color w:val="000000"/>
          <w:sz w:val="32"/>
          <w:szCs w:val="32"/>
        </w:rPr>
        <w:t>完善粮食流通数据采集制度，优化监测网点布局，强化统计人员素质，充分运用现代信息技术，加强社会粮油供需平衡调查，系统监测粮油供求和市场动态数据信息，促进粮油资源优化配置。</w:t>
      </w:r>
      <w:r>
        <w:rPr>
          <w:rFonts w:hint="default" w:ascii="Times New Roman" w:hAnsi="Times New Roman" w:eastAsia="仿宋_GB2312" w:cs="Times New Roman"/>
          <w:b/>
          <w:color w:val="000000"/>
          <w:sz w:val="32"/>
          <w:szCs w:val="32"/>
        </w:rPr>
        <w:t>建立健全一体化的粮情监测预警系统。</w:t>
      </w:r>
      <w:r>
        <w:rPr>
          <w:rFonts w:hint="default" w:ascii="Times New Roman" w:hAnsi="Times New Roman" w:eastAsia="仿宋_GB2312" w:cs="Times New Roman"/>
          <w:color w:val="000000"/>
          <w:sz w:val="32"/>
          <w:szCs w:val="32"/>
        </w:rPr>
        <w:t>依托粮食安全行政首长责任制部门协调机制，围绕粮食产购储加销环节，拓宽数据采集范围，推动与农业农村、商务、市场监管等部门信息系统的有效衔接，实现信息互通共享，建立健全全市一体化的粮情监测预警系统，及时发现粮食市场苗头性、倾向性、潜在性问题，增强工作的前瞻性、预见性、针对性，提高服务决策、服务行业、服务社会的能力水平。</w:t>
      </w:r>
    </w:p>
    <w:p>
      <w:pPr>
        <w:pStyle w:val="3"/>
        <w:overflowPunct w:val="0"/>
        <w:spacing w:after="200" w:line="560" w:lineRule="exact"/>
        <w:jc w:val="center"/>
        <w:rPr>
          <w:rFonts w:hint="default" w:ascii="Times New Roman" w:hAnsi="Times New Roman" w:eastAsia="黑体" w:cs="Times New Roman"/>
          <w:b w:val="0"/>
          <w:bCs w:val="0"/>
        </w:rPr>
      </w:pPr>
      <w:bookmarkStart w:id="46" w:name="_Toc727"/>
      <w:r>
        <w:rPr>
          <w:rFonts w:hint="default" w:ascii="Times New Roman" w:hAnsi="Times New Roman" w:eastAsia="黑体" w:cs="Times New Roman"/>
          <w:b w:val="0"/>
          <w:bCs w:val="0"/>
        </w:rPr>
        <w:t>第四节  提升粮</w:t>
      </w:r>
      <w:r>
        <w:rPr>
          <w:rFonts w:hint="eastAsia" w:ascii="Times New Roman" w:hAnsi="Times New Roman" w:eastAsia="黑体" w:cs="Times New Roman"/>
          <w:b w:val="0"/>
          <w:bCs w:val="0"/>
          <w:lang w:eastAsia="zh-CN"/>
        </w:rPr>
        <w:t>油</w:t>
      </w:r>
      <w:r>
        <w:rPr>
          <w:rFonts w:hint="default" w:ascii="Times New Roman" w:hAnsi="Times New Roman" w:eastAsia="黑体" w:cs="Times New Roman"/>
          <w:b w:val="0"/>
          <w:bCs w:val="0"/>
        </w:rPr>
        <w:t>应急保障能力</w:t>
      </w:r>
      <w:bookmarkEnd w:id="46"/>
    </w:p>
    <w:p>
      <w:pPr>
        <w:spacing w:line="560" w:lineRule="exact"/>
        <w:ind w:firstLine="629"/>
        <w:rPr>
          <w:rFonts w:hint="default" w:ascii="Times New Roman" w:hAnsi="Times New Roman" w:eastAsia="仿宋_GB2312" w:cs="Times New Roman"/>
          <w:color w:val="C00000"/>
          <w:sz w:val="32"/>
          <w:szCs w:val="32"/>
        </w:rPr>
      </w:pPr>
      <w:r>
        <w:rPr>
          <w:rFonts w:hint="default" w:ascii="Times New Roman" w:hAnsi="Times New Roman" w:eastAsia="楷体_GB2312" w:cs="Times New Roman"/>
          <w:b/>
          <w:sz w:val="32"/>
          <w:szCs w:val="32"/>
        </w:rPr>
        <w:t>严格落实成品粮</w:t>
      </w:r>
      <w:r>
        <w:rPr>
          <w:rFonts w:hint="eastAsia" w:ascii="Times New Roman" w:hAnsi="Times New Roman" w:eastAsia="楷体_GB2312" w:cs="Times New Roman"/>
          <w:b/>
          <w:sz w:val="32"/>
          <w:szCs w:val="32"/>
          <w:lang w:eastAsia="zh-CN"/>
        </w:rPr>
        <w:t>油</w:t>
      </w:r>
      <w:r>
        <w:rPr>
          <w:rFonts w:hint="default" w:ascii="Times New Roman" w:hAnsi="Times New Roman" w:eastAsia="楷体_GB2312" w:cs="Times New Roman"/>
          <w:b/>
          <w:sz w:val="32"/>
          <w:szCs w:val="32"/>
        </w:rPr>
        <w:t>储备规模。</w:t>
      </w:r>
      <w:r>
        <w:rPr>
          <w:rFonts w:hint="default" w:ascii="Times New Roman" w:hAnsi="Times New Roman" w:eastAsia="仿宋_GB2312" w:cs="Times New Roman"/>
          <w:color w:val="000000"/>
          <w:sz w:val="32"/>
          <w:szCs w:val="32"/>
        </w:rPr>
        <w:t>根据人口数量科学合理确定成品粮</w:t>
      </w:r>
      <w:r>
        <w:rPr>
          <w:rFonts w:hint="eastAsia" w:ascii="Times New Roman" w:hAnsi="Times New Roman" w:eastAsia="仿宋_GB2312" w:cs="Times New Roman"/>
          <w:color w:val="000000"/>
          <w:sz w:val="32"/>
          <w:szCs w:val="32"/>
          <w:lang w:eastAsia="zh-CN"/>
        </w:rPr>
        <w:t>油</w:t>
      </w:r>
      <w:r>
        <w:rPr>
          <w:rFonts w:hint="default" w:ascii="Times New Roman" w:hAnsi="Times New Roman" w:eastAsia="仿宋_GB2312" w:cs="Times New Roman"/>
          <w:color w:val="000000"/>
          <w:sz w:val="32"/>
          <w:szCs w:val="32"/>
        </w:rPr>
        <w:t>储备规模，并严格落实。按不低于3天市场供应量的要求落实成品粮</w:t>
      </w:r>
      <w:r>
        <w:rPr>
          <w:rFonts w:hint="eastAsia" w:ascii="Times New Roman" w:hAnsi="Times New Roman" w:eastAsia="仿宋_GB2312" w:cs="Times New Roman"/>
          <w:color w:val="000000"/>
          <w:sz w:val="32"/>
          <w:szCs w:val="32"/>
          <w:lang w:eastAsia="zh-CN"/>
        </w:rPr>
        <w:t>油</w:t>
      </w:r>
      <w:r>
        <w:rPr>
          <w:rFonts w:hint="default" w:ascii="Times New Roman" w:hAnsi="Times New Roman" w:eastAsia="仿宋_GB2312" w:cs="Times New Roman"/>
          <w:color w:val="000000"/>
          <w:sz w:val="32"/>
          <w:szCs w:val="32"/>
        </w:rPr>
        <w:t>储备。</w:t>
      </w:r>
      <w:r>
        <w:rPr>
          <w:rFonts w:hint="default" w:ascii="Times New Roman" w:hAnsi="Times New Roman" w:eastAsia="楷体_GB2312" w:cs="Times New Roman"/>
          <w:b/>
          <w:sz w:val="32"/>
          <w:szCs w:val="32"/>
        </w:rPr>
        <w:t>加强粮食应急供应网点建设和维护。</w:t>
      </w:r>
      <w:r>
        <w:rPr>
          <w:rFonts w:hint="default" w:ascii="Times New Roman" w:hAnsi="Times New Roman" w:eastAsia="仿宋_GB2312" w:cs="Times New Roman"/>
          <w:color w:val="000000"/>
          <w:sz w:val="32"/>
          <w:szCs w:val="32"/>
        </w:rPr>
        <w:t>依托现有社会资源构建布局合理、设施完备、运转高效、保障有力的粮食应急供应保障体系。在各县（区）布局粮食应急加工企业，承担本级应急粮食加工任务，确保应急加工能力和应急供应需求相适应。</w:t>
      </w:r>
      <w:r>
        <w:rPr>
          <w:rFonts w:hint="default" w:ascii="Times New Roman" w:hAnsi="Times New Roman" w:eastAsia="楷体_GB2312" w:cs="Times New Roman"/>
          <w:b/>
          <w:sz w:val="32"/>
          <w:szCs w:val="32"/>
        </w:rPr>
        <w:t>加强应急成品粮</w:t>
      </w:r>
      <w:r>
        <w:rPr>
          <w:rFonts w:hint="eastAsia" w:ascii="Times New Roman" w:hAnsi="Times New Roman" w:eastAsia="楷体_GB2312" w:cs="Times New Roman"/>
          <w:b/>
          <w:sz w:val="32"/>
          <w:szCs w:val="32"/>
          <w:lang w:eastAsia="zh-CN"/>
        </w:rPr>
        <w:t>油</w:t>
      </w:r>
      <w:r>
        <w:rPr>
          <w:rFonts w:hint="default" w:ascii="Times New Roman" w:hAnsi="Times New Roman" w:eastAsia="楷体_GB2312" w:cs="Times New Roman"/>
          <w:b/>
          <w:sz w:val="32"/>
          <w:szCs w:val="32"/>
        </w:rPr>
        <w:t>储备管理。</w:t>
      </w:r>
      <w:r>
        <w:rPr>
          <w:rFonts w:hint="default" w:ascii="Times New Roman" w:hAnsi="Times New Roman" w:eastAsia="仿宋_GB2312" w:cs="Times New Roman"/>
          <w:sz w:val="32"/>
          <w:szCs w:val="32"/>
        </w:rPr>
        <w:t>建立市、（区）县应急成品粮</w:t>
      </w:r>
      <w:r>
        <w:rPr>
          <w:rFonts w:hint="eastAsia" w:ascii="Times New Roman" w:hAnsi="Times New Roman" w:eastAsia="仿宋_GB2312" w:cs="Times New Roman"/>
          <w:sz w:val="32"/>
          <w:szCs w:val="32"/>
          <w:lang w:eastAsia="zh-CN"/>
        </w:rPr>
        <w:t>油</w:t>
      </w:r>
      <w:r>
        <w:rPr>
          <w:rFonts w:hint="default" w:ascii="Times New Roman" w:hAnsi="Times New Roman" w:eastAsia="仿宋_GB2312" w:cs="Times New Roman"/>
          <w:sz w:val="32"/>
          <w:szCs w:val="32"/>
        </w:rPr>
        <w:t>储备管理体系。完善粮</w:t>
      </w:r>
      <w:r>
        <w:rPr>
          <w:rFonts w:hint="eastAsia" w:ascii="Times New Roman" w:hAnsi="Times New Roman" w:eastAsia="仿宋_GB2312" w:cs="Times New Roman"/>
          <w:sz w:val="32"/>
          <w:szCs w:val="32"/>
          <w:lang w:eastAsia="zh-CN"/>
        </w:rPr>
        <w:t>油</w:t>
      </w:r>
      <w:r>
        <w:rPr>
          <w:rFonts w:hint="default" w:ascii="Times New Roman" w:hAnsi="Times New Roman" w:eastAsia="仿宋_GB2312" w:cs="Times New Roman"/>
          <w:sz w:val="32"/>
          <w:szCs w:val="32"/>
        </w:rPr>
        <w:t>应急预案，提高我市粮应急联动能力。</w:t>
      </w:r>
      <w:r>
        <w:rPr>
          <w:rFonts w:hint="default" w:ascii="Times New Roman" w:hAnsi="Times New Roman" w:eastAsia="仿宋_GB2312" w:cs="Times New Roman"/>
          <w:color w:val="000000"/>
          <w:sz w:val="32"/>
          <w:szCs w:val="32"/>
        </w:rPr>
        <w:t>强化应急培训与演练，</w:t>
      </w:r>
      <w:r>
        <w:rPr>
          <w:rFonts w:hint="default" w:ascii="Times New Roman" w:hAnsi="Times New Roman" w:eastAsia="仿宋_GB2312" w:cs="Times New Roman"/>
          <w:sz w:val="32"/>
          <w:szCs w:val="32"/>
        </w:rPr>
        <w:t>提高突发事件应急处置能力，确保关键时刻调得出、用得上。</w:t>
      </w:r>
      <w:r>
        <w:rPr>
          <w:rFonts w:hint="default" w:ascii="Times New Roman" w:hAnsi="Times New Roman" w:eastAsia="楷体_GB2312" w:cs="Times New Roman"/>
          <w:b/>
          <w:sz w:val="32"/>
          <w:szCs w:val="32"/>
        </w:rPr>
        <w:t>完善监测预警体系。</w:t>
      </w:r>
      <w:r>
        <w:rPr>
          <w:rFonts w:hint="default" w:ascii="Times New Roman" w:hAnsi="Times New Roman" w:eastAsia="仿宋_GB2312" w:cs="Times New Roman"/>
          <w:color w:val="000000"/>
          <w:sz w:val="32"/>
          <w:szCs w:val="32"/>
        </w:rPr>
        <w:t>充实完善粮食市场监测网点，做好监测预警，及时研判市场供求信息，打造灵敏、准确的粮食信息网络体系。认真开展粮食统计调查，为粮食宏观调控提供可靠依据。完善粮食供求和价格信息发布制度，积极引导粮食生产和流通。</w:t>
      </w:r>
      <w:r>
        <w:rPr>
          <w:rFonts w:hint="default" w:ascii="Times New Roman" w:hAnsi="Times New Roman" w:eastAsia="楷体_GB2312" w:cs="Times New Roman"/>
          <w:b/>
          <w:sz w:val="32"/>
          <w:szCs w:val="32"/>
        </w:rPr>
        <w:t>完善军粮供应保障体系。</w:t>
      </w:r>
      <w:r>
        <w:rPr>
          <w:rFonts w:hint="default" w:ascii="Times New Roman" w:hAnsi="Times New Roman" w:eastAsia="仿宋_GB2312" w:cs="Times New Roman"/>
          <w:color w:val="000000"/>
          <w:sz w:val="32"/>
          <w:szCs w:val="32"/>
        </w:rPr>
        <w:t>健全军粮应急供应保障网点，提高军粮应急保障配送能力。依托现有“放心粮油”经营店和军供基础站点，加快推进新建基础设施并融入现有军粮供应体系，完善市和基层站点二级军粮配送供应网络，构建应急保障、军粮供应、成品粮储备、放心粮油、主食产业化“五位一体”军粮应急供应保障网络体系。</w:t>
      </w:r>
    </w:p>
    <w:p>
      <w:pPr>
        <w:spacing w:line="560" w:lineRule="exact"/>
        <w:rPr>
          <w:rFonts w:hint="default" w:ascii="Times New Roman" w:hAnsi="Times New Roman" w:eastAsia="仿宋_GB2312" w:cs="Times New Roman"/>
          <w:color w:val="000000"/>
          <w:sz w:val="32"/>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0" w:type="dxa"/>
            <w:vAlign w:val="center"/>
          </w:tcPr>
          <w:p>
            <w:pPr>
              <w:spacing w:line="56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专栏一  </w:t>
            </w:r>
            <w:r>
              <w:rPr>
                <w:rFonts w:hint="default" w:ascii="Times New Roman" w:hAnsi="Times New Roman" w:eastAsia="仿宋_GB2312" w:cs="Times New Roman"/>
                <w:b/>
                <w:bCs w:val="0"/>
                <w:sz w:val="32"/>
                <w:szCs w:val="32"/>
              </w:rPr>
              <w:t>粮食宏观调控</w:t>
            </w:r>
            <w:r>
              <w:rPr>
                <w:rFonts w:hint="default" w:ascii="Times New Roman" w:hAnsi="Times New Roman" w:eastAsia="仿宋_GB2312" w:cs="Times New Roman"/>
                <w:b/>
                <w:sz w:val="32"/>
                <w:szCs w:val="32"/>
              </w:rPr>
              <w:t>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9060" w:type="dxa"/>
            <w:vAlign w:val="center"/>
          </w:tcPr>
          <w:p>
            <w:pPr>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sz w:val="32"/>
                <w:szCs w:val="32"/>
                <w:u w:val="none"/>
              </w:rPr>
              <w:t>（一）落实地方粮食储备规模。</w:t>
            </w:r>
            <w:r>
              <w:rPr>
                <w:rFonts w:hint="default" w:ascii="Times New Roman" w:hAnsi="Times New Roman" w:eastAsia="仿宋_GB2312" w:cs="Times New Roman"/>
                <w:color w:val="000000"/>
                <w:sz w:val="32"/>
                <w:szCs w:val="32"/>
                <w:u w:val="none"/>
              </w:rPr>
              <w:t>调整优化地方粮</w:t>
            </w:r>
            <w:r>
              <w:rPr>
                <w:rFonts w:hint="default" w:ascii="Times New Roman" w:hAnsi="Times New Roman" w:eastAsia="仿宋_GB2312" w:cs="Times New Roman"/>
                <w:color w:val="000000"/>
                <w:sz w:val="32"/>
                <w:szCs w:val="32"/>
                <w:u w:val="none"/>
                <w:lang w:eastAsia="zh-CN"/>
              </w:rPr>
              <w:t>食</w:t>
            </w:r>
            <w:r>
              <w:rPr>
                <w:rFonts w:hint="default" w:ascii="Times New Roman" w:hAnsi="Times New Roman" w:eastAsia="仿宋_GB2312" w:cs="Times New Roman"/>
                <w:color w:val="000000"/>
                <w:sz w:val="32"/>
                <w:szCs w:val="32"/>
                <w:u w:val="none"/>
              </w:rPr>
              <w:t>储备规模，严守粮食安全底线</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完善稻谷补贴与储备粮订单收购政策，保障粮源稳定</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每年收购计划安排不低于5.</w:t>
            </w:r>
            <w:r>
              <w:rPr>
                <w:rFonts w:hint="default"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rPr>
              <w:t>万吨。</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w:t>
            </w:r>
            <w:r>
              <w:rPr>
                <w:rFonts w:hint="default" w:ascii="Times New Roman" w:hAnsi="Times New Roman" w:eastAsia="仿宋_GB2312" w:cs="Times New Roman"/>
                <w:b/>
                <w:color w:val="000000"/>
                <w:sz w:val="32"/>
                <w:szCs w:val="32"/>
              </w:rPr>
              <w:t>构建政府储备与企业储备协同体系。</w:t>
            </w:r>
            <w:r>
              <w:rPr>
                <w:rFonts w:hint="default" w:ascii="Times New Roman" w:hAnsi="Times New Roman" w:eastAsia="仿宋_GB2312" w:cs="Times New Roman"/>
                <w:color w:val="000000"/>
                <w:sz w:val="32"/>
                <w:szCs w:val="32"/>
              </w:rPr>
              <w:t>按照社会共担粮食储备责任的原则，鼓励符合条件的多元市场主体参与地方粮食储备相关工作，建立规模以上粮食加工企业社会责任储备。</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color w:val="000000"/>
                <w:sz w:val="32"/>
                <w:szCs w:val="32"/>
              </w:rPr>
              <w:t>（三）</w:t>
            </w:r>
            <w:r>
              <w:rPr>
                <w:rFonts w:hint="default" w:ascii="Times New Roman" w:hAnsi="Times New Roman" w:eastAsia="仿宋_GB2312" w:cs="Times New Roman"/>
                <w:b/>
                <w:bCs w:val="0"/>
                <w:color w:val="000000"/>
                <w:sz w:val="32"/>
                <w:szCs w:val="32"/>
              </w:rPr>
              <w:t>提升粮食应急保障能力</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color w:val="000000"/>
                <w:sz w:val="32"/>
                <w:szCs w:val="32"/>
              </w:rPr>
              <w:t>按不低于3天市场供应量的要求落实成品粮储备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依托现有社会资源构建布局合理、设施完备、运转高效、保障有力的粮食应急供应保障体系。</w:t>
            </w:r>
          </w:p>
        </w:tc>
      </w:tr>
    </w:tbl>
    <w:p>
      <w:pPr>
        <w:overflowPunct w:val="0"/>
        <w:spacing w:line="560" w:lineRule="exact"/>
        <w:jc w:val="center"/>
        <w:rPr>
          <w:rFonts w:hint="default" w:ascii="Times New Roman" w:hAnsi="Times New Roman" w:eastAsia="仿宋_GB2312" w:cs="Times New Roman"/>
          <w:bCs/>
          <w:sz w:val="32"/>
          <w:szCs w:val="32"/>
        </w:rPr>
      </w:pPr>
    </w:p>
    <w:p>
      <w:pPr>
        <w:overflowPunct w:val="0"/>
        <w:spacing w:line="560" w:lineRule="exact"/>
        <w:rPr>
          <w:rFonts w:hint="default" w:ascii="Times New Roman" w:hAnsi="Times New Roman" w:cs="Times New Roman"/>
        </w:rPr>
      </w:pPr>
      <w:bookmarkStart w:id="47" w:name="_Toc5608"/>
      <w:bookmarkStart w:id="48" w:name="_Toc73888712"/>
      <w:bookmarkStart w:id="49" w:name="_Toc21453"/>
      <w:bookmarkStart w:id="50" w:name="_Toc23649"/>
    </w:p>
    <w:p>
      <w:pPr>
        <w:overflowPunct w:val="0"/>
        <w:spacing w:line="560" w:lineRule="exact"/>
        <w:rPr>
          <w:rFonts w:hint="default" w:ascii="Times New Roman" w:hAnsi="Times New Roman" w:cs="Times New Roman"/>
        </w:rPr>
      </w:pPr>
    </w:p>
    <w:p>
      <w:pPr>
        <w:overflowPunct w:val="0"/>
        <w:spacing w:line="560" w:lineRule="exact"/>
        <w:rPr>
          <w:rFonts w:hint="default" w:ascii="Times New Roman" w:hAnsi="Times New Roman" w:cs="Times New Roman"/>
        </w:rPr>
        <w:sectPr>
          <w:pgSz w:w="11907" w:h="16840"/>
          <w:pgMar w:top="1587" w:right="1474" w:bottom="1474" w:left="1587" w:header="851" w:footer="992" w:gutter="0"/>
          <w:pgNumType w:fmt="numberInDash"/>
          <w:cols w:space="425" w:num="1"/>
          <w:docGrid w:linePitch="579" w:charSpace="-849"/>
        </w:sectPr>
      </w:pPr>
    </w:p>
    <w:bookmarkEnd w:id="47"/>
    <w:bookmarkEnd w:id="48"/>
    <w:bookmarkEnd w:id="49"/>
    <w:bookmarkEnd w:id="50"/>
    <w:p>
      <w:pPr>
        <w:pStyle w:val="2"/>
        <w:overflowPunct w:val="0"/>
        <w:spacing w:before="120" w:beforeLines="50" w:after="120" w:afterLines="50"/>
        <w:jc w:val="center"/>
        <w:rPr>
          <w:rFonts w:hint="default" w:ascii="Times New Roman" w:hAnsi="Times New Roman" w:eastAsia="方正小标宋简体" w:cs="Times New Roman"/>
          <w:b w:val="0"/>
          <w:bCs w:val="0"/>
        </w:rPr>
      </w:pPr>
      <w:bookmarkStart w:id="51" w:name="_Toc30749"/>
      <w:bookmarkStart w:id="52" w:name="_Toc8852"/>
      <w:bookmarkStart w:id="53" w:name="_Toc27765"/>
      <w:bookmarkStart w:id="54" w:name="_Toc16363"/>
      <w:bookmarkStart w:id="55" w:name="_Toc13668"/>
      <w:bookmarkStart w:id="56" w:name="_Toc73888717"/>
      <w:r>
        <w:rPr>
          <w:rFonts w:hint="default" w:ascii="Times New Roman" w:hAnsi="Times New Roman" w:eastAsia="方正小标宋简体" w:cs="Times New Roman"/>
          <w:b w:val="0"/>
          <w:bCs w:val="0"/>
        </w:rPr>
        <w:t xml:space="preserve">第四章 </w:t>
      </w:r>
      <w:bookmarkEnd w:id="51"/>
      <w:r>
        <w:rPr>
          <w:rFonts w:hint="default" w:ascii="Times New Roman" w:hAnsi="Times New Roman" w:eastAsia="方正小标宋简体" w:cs="Times New Roman"/>
          <w:b w:val="0"/>
          <w:bCs w:val="0"/>
        </w:rPr>
        <w:t>大力发展粮食产业经济，</w:t>
      </w: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推动行业高质量发展</w:t>
      </w:r>
    </w:p>
    <w:p>
      <w:pPr>
        <w:overflowPunct w:val="0"/>
        <w:spacing w:line="560" w:lineRule="exact"/>
        <w:ind w:firstLine="664" w:firstLineChars="200"/>
        <w:rPr>
          <w:rFonts w:hint="default" w:ascii="Times New Roman" w:hAnsi="Times New Roman" w:eastAsia="仿宋_GB2312" w:cs="Times New Roman"/>
          <w:color w:val="000000"/>
          <w:spacing w:val="6"/>
          <w:sz w:val="32"/>
          <w:szCs w:val="32"/>
        </w:rPr>
      </w:pPr>
    </w:p>
    <w:p>
      <w:pPr>
        <w:overflowPunct w:val="0"/>
        <w:spacing w:line="560" w:lineRule="exact"/>
        <w:ind w:firstLine="664" w:firstLineChars="200"/>
        <w:rPr>
          <w:rFonts w:hint="default" w:ascii="Times New Roman" w:hAnsi="Times New Roman" w:eastAsia="楷体_GB2312" w:cs="Times New Roman"/>
          <w:bCs/>
          <w:sz w:val="32"/>
          <w:szCs w:val="32"/>
        </w:rPr>
      </w:pPr>
      <w:r>
        <w:rPr>
          <w:rFonts w:hint="default" w:ascii="Times New Roman" w:hAnsi="Times New Roman" w:eastAsia="仿宋_GB2312" w:cs="Times New Roman"/>
          <w:color w:val="000000"/>
          <w:spacing w:val="6"/>
          <w:sz w:val="32"/>
          <w:szCs w:val="32"/>
        </w:rPr>
        <w:t>依托优质粮食工程，积极实施“三链协同”、“五优联动”和“六大行动”，依靠“广西香米”品牌效应为抓手，大力发展灵山县、浦北县和钦北区粮食产业经济，沿海沿边粮油加工产业经济，提升产业竞争力，推动钦州粮食产业高质量发展。</w:t>
      </w:r>
    </w:p>
    <w:p>
      <w:pPr>
        <w:pStyle w:val="3"/>
        <w:overflowPunct w:val="0"/>
        <w:spacing w:after="200" w:line="560" w:lineRule="exact"/>
        <w:jc w:val="center"/>
        <w:rPr>
          <w:rFonts w:hint="default" w:ascii="Times New Roman" w:hAnsi="Times New Roman" w:eastAsia="黑体" w:cs="Times New Roman"/>
          <w:b w:val="0"/>
          <w:bCs w:val="0"/>
        </w:rPr>
      </w:pPr>
      <w:bookmarkStart w:id="57" w:name="_Toc22674"/>
      <w:bookmarkStart w:id="58" w:name="_Toc73888713"/>
      <w:bookmarkStart w:id="59" w:name="_Toc12786"/>
      <w:bookmarkStart w:id="60" w:name="_Toc9380"/>
      <w:bookmarkStart w:id="61" w:name="_Toc28988"/>
      <w:r>
        <w:rPr>
          <w:rFonts w:hint="default" w:ascii="Times New Roman" w:hAnsi="Times New Roman" w:eastAsia="黑体" w:cs="Times New Roman"/>
          <w:b w:val="0"/>
          <w:bCs w:val="0"/>
        </w:rPr>
        <w:t>第一节  发展壮大粮油产业</w:t>
      </w:r>
      <w:bookmarkEnd w:id="57"/>
      <w:bookmarkEnd w:id="58"/>
      <w:bookmarkEnd w:id="59"/>
      <w:bookmarkEnd w:id="60"/>
      <w:bookmarkEnd w:id="61"/>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rPr>
        <w:t>推进优质粮食基地建设。</w:t>
      </w:r>
      <w:r>
        <w:rPr>
          <w:rFonts w:hint="default" w:ascii="Times New Roman" w:hAnsi="Times New Roman" w:eastAsia="仿宋_GB2312" w:cs="Times New Roman"/>
          <w:color w:val="000000"/>
          <w:sz w:val="32"/>
          <w:szCs w:val="32"/>
        </w:rPr>
        <w:t>加快优质粮源基地建设。立足天然富硒土壤优势，大力发展富硒粮食产业，结合粮食生产功能区、重要农产品生产保护区、特色农产品优势区建设，扩大我市优质稻种植面积，</w:t>
      </w:r>
      <w:r>
        <w:rPr>
          <w:rFonts w:hint="default" w:ascii="Times New Roman" w:hAnsi="Times New Roman" w:eastAsia="仿宋_GB2312" w:cs="Times New Roman"/>
          <w:sz w:val="32"/>
          <w:szCs w:val="32"/>
        </w:rPr>
        <w:t>争取到2025年产量达到</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万吨。严格落实耕地保护制度，抓好高标准农田建设，强化农田水利建设管护，提高粮食生产科技和机械化水平，推动优质粮源基地高质量发展。</w:t>
      </w:r>
      <w:r>
        <w:rPr>
          <w:rFonts w:hint="default" w:ascii="Times New Roman" w:hAnsi="Times New Roman" w:eastAsia="楷体_GB2312" w:cs="Times New Roman"/>
          <w:b/>
          <w:sz w:val="32"/>
          <w:szCs w:val="32"/>
        </w:rPr>
        <w:t>提升粮机装备应用水平。</w:t>
      </w:r>
      <w:r>
        <w:rPr>
          <w:rFonts w:hint="default" w:ascii="Times New Roman" w:hAnsi="Times New Roman" w:eastAsia="仿宋_GB2312" w:cs="Times New Roman"/>
          <w:sz w:val="32"/>
          <w:szCs w:val="32"/>
        </w:rPr>
        <w:t>以增强需求匹配性为出发点，综合考虑区域粮食产量、生产集中度、服务半径、交通运输条件等因素，兼顾现有配套设施等情况，优化粮食产后服务中心布点、功能，积极在粮食清理、干燥、仓储、装卸、运输、加工等推广应用粮食机械装备自主创新成果，升级配置粮食机械化、自动化、智能化、环保型装备和“四散化”运输、集装箱运输、成品粮冷链运输装备等，提升国产化加工装备使用率水平，重点补齐粮食质量快检、环保烘干、清杂等短板，切实解决“晒粮难、储粮难、销售难”等问题。</w:t>
      </w:r>
      <w:r>
        <w:rPr>
          <w:rFonts w:hint="default" w:ascii="Times New Roman" w:hAnsi="Times New Roman" w:eastAsia="楷体_GB2312" w:cs="Times New Roman"/>
          <w:b/>
          <w:sz w:val="32"/>
          <w:szCs w:val="32"/>
        </w:rPr>
        <w:t>打造特色粮油品牌。</w:t>
      </w:r>
      <w:r>
        <w:rPr>
          <w:rFonts w:hint="default" w:ascii="Times New Roman" w:hAnsi="Times New Roman" w:eastAsia="仿宋_GB2312" w:cs="Times New Roman"/>
          <w:color w:val="000000"/>
          <w:sz w:val="32"/>
          <w:szCs w:val="32"/>
        </w:rPr>
        <w:t>充分发挥粮油品牌的扩散和产品聚合效应，加入广西香米产业联盟，创建“富硒大米”公用品牌。鼓励粮食生产企业挖掘我市地方特色优势，加大绿色、有机粮油产品的推广和认证力度，通过商标注册、质量管控、文化创新、科技创新等手段打造地理标志产品等品牌，做优做强以品牌价值为核心的现代粮食产业。推动企业和品牌协同发展，加大</w:t>
      </w:r>
      <w:r>
        <w:rPr>
          <w:rFonts w:hint="default" w:ascii="Times New Roman" w:hAnsi="Times New Roman" w:eastAsia="仿宋_GB2312" w:cs="Times New Roman"/>
          <w:sz w:val="32"/>
          <w:szCs w:val="32"/>
        </w:rPr>
        <w:t>“富稀谷”、“龙绕香”、“浦福源富硒大米”和</w:t>
      </w:r>
      <w:r>
        <w:rPr>
          <w:rFonts w:hint="default" w:ascii="Times New Roman" w:hAnsi="Times New Roman" w:eastAsia="仿宋_GB2312" w:cs="Times New Roman"/>
          <w:color w:val="auto"/>
          <w:sz w:val="32"/>
          <w:szCs w:val="32"/>
        </w:rPr>
        <w:t>“浦生富硒红衣花生”</w:t>
      </w:r>
      <w:r>
        <w:rPr>
          <w:rFonts w:hint="default" w:ascii="Times New Roman" w:hAnsi="Times New Roman" w:eastAsia="仿宋_GB2312" w:cs="Times New Roman"/>
          <w:sz w:val="32"/>
          <w:szCs w:val="32"/>
        </w:rPr>
        <w:t>等自主品牌</w:t>
      </w:r>
      <w:r>
        <w:rPr>
          <w:rFonts w:hint="default" w:ascii="Times New Roman" w:hAnsi="Times New Roman" w:eastAsia="仿宋_GB2312" w:cs="Times New Roman"/>
          <w:color w:val="000000"/>
          <w:sz w:val="32"/>
          <w:szCs w:val="32"/>
        </w:rPr>
        <w:t>推广，通过广告宣传、展会推介、电商对接、直营体验等方式，重点宣传钦州生态优势，推</w:t>
      </w:r>
      <w:r>
        <w:rPr>
          <w:rFonts w:hint="default" w:ascii="Times New Roman" w:hAnsi="Times New Roman" w:eastAsia="仿宋_GB2312" w:cs="Times New Roman"/>
          <w:color w:val="000000"/>
          <w:kern w:val="0"/>
          <w:sz w:val="32"/>
          <w:szCs w:val="32"/>
        </w:rPr>
        <w:t>介“富硒大米—健康绿色”的</w:t>
      </w:r>
      <w:r>
        <w:rPr>
          <w:rFonts w:hint="default" w:ascii="Times New Roman" w:hAnsi="Times New Roman" w:eastAsia="仿宋_GB2312" w:cs="Times New Roman"/>
          <w:color w:val="000000"/>
          <w:sz w:val="32"/>
          <w:szCs w:val="32"/>
        </w:rPr>
        <w:t>内在品质，挖掘稻米种植历史传承和文化底蕴，</w:t>
      </w:r>
      <w:r>
        <w:rPr>
          <w:rFonts w:hint="default" w:ascii="Times New Roman" w:hAnsi="Times New Roman" w:eastAsia="仿宋_GB2312" w:cs="Times New Roman"/>
          <w:sz w:val="32"/>
          <w:szCs w:val="32"/>
        </w:rPr>
        <w:t>扩大品牌影响力和市场竞争力</w:t>
      </w:r>
      <w:r>
        <w:rPr>
          <w:rFonts w:hint="default" w:ascii="Times New Roman" w:hAnsi="Times New Roman" w:eastAsia="仿宋_GB2312" w:cs="Times New Roman"/>
          <w:color w:val="000000"/>
          <w:sz w:val="32"/>
          <w:szCs w:val="32"/>
        </w:rPr>
        <w:t>。</w:t>
      </w:r>
      <w:r>
        <w:rPr>
          <w:rFonts w:hint="default" w:ascii="Times New Roman" w:hAnsi="Times New Roman" w:eastAsia="楷体_GB2312" w:cs="Times New Roman"/>
          <w:b/>
          <w:sz w:val="32"/>
          <w:szCs w:val="32"/>
        </w:rPr>
        <w:t>完善粮食质量追溯体系。</w:t>
      </w:r>
      <w:r>
        <w:rPr>
          <w:rFonts w:hint="default" w:ascii="Times New Roman" w:hAnsi="Times New Roman" w:eastAsia="仿宋_GB2312" w:cs="Times New Roman"/>
          <w:sz w:val="32"/>
          <w:szCs w:val="32"/>
        </w:rPr>
        <w:t>引入区块链等新技术，建立健全粮食质量数据库，完善以市级为支撑、以县级为基础的公益性粮食质量检验监测体系，强化粮食质量安全风险预警预报。加快推进粮食生产、收购、储存、运输、加工、销售全产业链数据资源共享网络建设，完善粮食质量追溯系统，制定产品追溯规范，开展粮食质量调查、品质测报和安全风险监测，营造安全放心的粮油消费环境。</w:t>
      </w:r>
    </w:p>
    <w:p>
      <w:pPr>
        <w:pStyle w:val="3"/>
        <w:overflowPunct w:val="0"/>
        <w:spacing w:after="200" w:line="560" w:lineRule="exact"/>
        <w:jc w:val="center"/>
        <w:rPr>
          <w:rFonts w:hint="default" w:ascii="Times New Roman" w:hAnsi="Times New Roman" w:eastAsia="黑体" w:cs="Times New Roman"/>
          <w:b w:val="0"/>
          <w:bCs w:val="0"/>
        </w:rPr>
      </w:pPr>
      <w:bookmarkStart w:id="62" w:name="_Toc18096"/>
      <w:bookmarkStart w:id="63" w:name="_Toc2976"/>
      <w:bookmarkStart w:id="64" w:name="_Toc73888715"/>
      <w:bookmarkStart w:id="65" w:name="_Toc5457"/>
      <w:bookmarkStart w:id="66" w:name="_Toc24244"/>
      <w:r>
        <w:rPr>
          <w:rFonts w:hint="default" w:ascii="Times New Roman" w:hAnsi="Times New Roman" w:eastAsia="黑体" w:cs="Times New Roman"/>
          <w:b w:val="0"/>
          <w:bCs w:val="0"/>
        </w:rPr>
        <w:t xml:space="preserve">第二节  </w:t>
      </w:r>
      <w:bookmarkEnd w:id="62"/>
      <w:bookmarkEnd w:id="63"/>
      <w:bookmarkEnd w:id="64"/>
      <w:bookmarkEnd w:id="65"/>
      <w:bookmarkEnd w:id="66"/>
      <w:r>
        <w:rPr>
          <w:rFonts w:hint="default" w:ascii="Times New Roman" w:hAnsi="Times New Roman" w:eastAsia="黑体" w:cs="Times New Roman"/>
          <w:b w:val="0"/>
          <w:bCs w:val="0"/>
        </w:rPr>
        <w:t xml:space="preserve">创新粮食产业发展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rPr>
        <w:t>促进全产业链发展。</w:t>
      </w:r>
      <w:r>
        <w:rPr>
          <w:rFonts w:hint="default" w:ascii="Times New Roman" w:hAnsi="Times New Roman" w:eastAsia="仿宋_GB2312" w:cs="Times New Roman"/>
          <w:color w:val="000000"/>
          <w:sz w:val="32"/>
          <w:szCs w:val="32"/>
        </w:rPr>
        <w:t>支持粮食企业积极参与粮食生产功能区建设，发展“产购储加销”一体化模式，构建从田间到餐桌的全产业链。推动粮食企业在产业链上游与新型农业经营主体开展产销对接和协作，通过定向投入、专项服务、良种培育、订单收购、代储加工等方式，建设加工原料基地，探索开展绿色优质特色粮油种植、收购、储存、专用化加工试点；向产业链下游延伸建设物流营销和服务网络，实现粮源基地化、加工规模化、产品优质化、服务多样化，着力打造绿色、有机的优质粮食供应链。开展粮食全产业链信息监测和分析预警，加大供需信息发布力度，引导粮食产销平衡。</w:t>
      </w:r>
      <w:r>
        <w:rPr>
          <w:rFonts w:hint="default" w:ascii="Times New Roman" w:hAnsi="Times New Roman" w:eastAsia="楷体_GB2312" w:cs="Times New Roman"/>
          <w:b/>
          <w:bCs/>
          <w:color w:val="000000"/>
          <w:kern w:val="0"/>
          <w:sz w:val="32"/>
          <w:szCs w:val="32"/>
        </w:rPr>
        <w:t>推动产业集聚发展。</w:t>
      </w:r>
      <w:r>
        <w:rPr>
          <w:rFonts w:hint="default" w:ascii="Times New Roman" w:hAnsi="Times New Roman" w:eastAsia="仿宋_GB2312" w:cs="Times New Roman"/>
          <w:color w:val="000000"/>
          <w:sz w:val="32"/>
          <w:szCs w:val="32"/>
        </w:rPr>
        <w:t>依托粮食主产区、特色粮油产区和关键粮食物流节点，推动粮食产业向优势产区集中布局，完善进口粮食临港深加工产业链。建设粮食物流产业体系，整合现有粮食生产、加工、物流、仓储、销售以及科技等资源，鼓励市外粮食企业到我市建立营销网络，加强产销区产业合作，积极打造区域性粮食物流产业园区，构建面向东盟的粮食大通道。</w:t>
      </w:r>
      <w:r>
        <w:rPr>
          <w:rFonts w:hint="default" w:ascii="Times New Roman" w:hAnsi="Times New Roman" w:eastAsia="楷体_GB2312" w:cs="Times New Roman"/>
          <w:b/>
          <w:bCs/>
          <w:color w:val="000000"/>
          <w:kern w:val="0"/>
          <w:sz w:val="32"/>
          <w:szCs w:val="32"/>
        </w:rPr>
        <w:t>发展粮食循环经济。</w:t>
      </w:r>
      <w:r>
        <w:rPr>
          <w:rFonts w:hint="default" w:ascii="Times New Roman" w:hAnsi="Times New Roman" w:eastAsia="仿宋_GB2312" w:cs="Times New Roman"/>
          <w:color w:val="000000"/>
          <w:sz w:val="32"/>
          <w:szCs w:val="32"/>
        </w:rPr>
        <w:t>支持粮食企业多途径探索粮油副产物循环、综合、梯次利用，提高粮食综合利用率和产品附加值。以绿色粮源、绿色仓储、绿色工厂、绿色园区为重点，构建绿色粮食产业体系。鼓励粮食企业建立绿色、低碳、环保的循环经济系统，降低单位产品能耗和物耗水平。</w:t>
      </w:r>
    </w:p>
    <w:p>
      <w:pPr>
        <w:pStyle w:val="3"/>
        <w:overflowPunct w:val="0"/>
        <w:spacing w:after="200" w:line="560" w:lineRule="exact"/>
        <w:jc w:val="center"/>
        <w:rPr>
          <w:rFonts w:hint="default" w:ascii="Times New Roman" w:hAnsi="Times New Roman" w:eastAsia="黑体" w:cs="Times New Roman"/>
          <w:b w:val="0"/>
          <w:bCs w:val="0"/>
        </w:rPr>
      </w:pPr>
      <w:bookmarkStart w:id="67" w:name="_Toc1325"/>
      <w:bookmarkStart w:id="68" w:name="_Toc73888716"/>
      <w:bookmarkStart w:id="69" w:name="_Toc15852"/>
      <w:bookmarkStart w:id="70" w:name="_Toc3975"/>
      <w:bookmarkStart w:id="71" w:name="_Toc3042"/>
      <w:r>
        <w:rPr>
          <w:rFonts w:hint="default" w:ascii="Times New Roman" w:hAnsi="Times New Roman" w:eastAsia="黑体" w:cs="Times New Roman"/>
          <w:b w:val="0"/>
          <w:bCs w:val="0"/>
        </w:rPr>
        <w:t xml:space="preserve">第三节  </w:t>
      </w:r>
      <w:bookmarkEnd w:id="67"/>
      <w:bookmarkEnd w:id="68"/>
      <w:bookmarkEnd w:id="69"/>
      <w:bookmarkEnd w:id="70"/>
      <w:bookmarkEnd w:id="71"/>
      <w:r>
        <w:rPr>
          <w:rFonts w:hint="default" w:ascii="Times New Roman" w:hAnsi="Times New Roman" w:eastAsia="黑体" w:cs="Times New Roman"/>
          <w:b w:val="0"/>
          <w:bCs w:val="0"/>
        </w:rPr>
        <w:t>加快粮食产业转型升级</w:t>
      </w:r>
    </w:p>
    <w:p>
      <w:pPr>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增加绿色优质粮油产品供给。</w:t>
      </w:r>
      <w:r>
        <w:rPr>
          <w:rFonts w:hint="default" w:ascii="Times New Roman" w:hAnsi="Times New Roman" w:eastAsia="仿宋_GB2312" w:cs="Times New Roman"/>
          <w:color w:val="000000"/>
          <w:sz w:val="32"/>
          <w:szCs w:val="32"/>
        </w:rPr>
        <w:t>深入实施“优质粮食工程”，以市场需求为导向，建立优质优价的粮食生产、分类收储和交易机制。通过增品种、提品质、创品牌，推进绿色优质粮食产业体系建设。实施“中国好粮油”行动计划，开展标准引领、质量测评、品牌培育、健康消费宣传、营销渠道和平台建设及试点示范等工作。优化产品结构，开发绿色优质、营养健康的粮油新产品，增加无公害、绿色、有机粮油产品供给。依托我市丰富的富硒土壤、海洋滩涂资源，充分利用我市粮油作物自然富硒优势，加快发展具有我市特色的潮禾米（海红米）、龙渊大糯、紫香糯米、红米、黑米、红衣花生等优质富硒粮油品种，推动我市特色粮油生产、加工规模化、产业化发展。</w:t>
      </w:r>
      <w:r>
        <w:rPr>
          <w:rFonts w:hint="default" w:ascii="Times New Roman" w:hAnsi="Times New Roman" w:eastAsia="楷体_GB2312" w:cs="Times New Roman"/>
          <w:b/>
          <w:bCs/>
          <w:color w:val="000000"/>
          <w:sz w:val="32"/>
          <w:szCs w:val="32"/>
        </w:rPr>
        <w:t>大力发展粮油精深加工与转化。</w:t>
      </w:r>
      <w:r>
        <w:rPr>
          <w:rFonts w:hint="default" w:ascii="Times New Roman" w:hAnsi="Times New Roman" w:eastAsia="仿宋_GB2312" w:cs="Times New Roman"/>
          <w:color w:val="000000"/>
          <w:sz w:val="32"/>
          <w:szCs w:val="32"/>
        </w:rPr>
        <w:t>推进粮食供给侧结构性改革，以粮油精深加工转化和副产品综合利用为引擎，促进粮食加工产品向功能性食品方向发展。提高粮食产品供给质量，增加附加值，扩大我市粮油产品在市内外市场的占有率，减少原粮和初加工产品的输出，提高粮食就地加工转化能力和资源利用率，不断满足城乡居民个性化、多元化、定制化需求。</w:t>
      </w:r>
    </w:p>
    <w:p>
      <w:pPr>
        <w:overflowPunct w:val="0"/>
        <w:spacing w:line="560" w:lineRule="exact"/>
        <w:rPr>
          <w:rFonts w:hint="default" w:ascii="Times New Roman" w:hAnsi="Times New Roman" w:eastAsia="仿宋_GB2312" w:cs="Times New Roman"/>
          <w:sz w:val="32"/>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0" w:type="dxa"/>
            <w:vAlign w:val="center"/>
          </w:tcPr>
          <w:p>
            <w:pPr>
              <w:spacing w:line="56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 xml:space="preserve">  粮食产业发展提升行动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9060" w:type="dxa"/>
            <w:vAlign w:val="center"/>
          </w:tcPr>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（一）推进优质粮源基地建设。</w:t>
            </w:r>
            <w:r>
              <w:rPr>
                <w:rFonts w:hint="default" w:ascii="Times New Roman" w:hAnsi="Times New Roman" w:eastAsia="仿宋_GB2312" w:cs="Times New Roman"/>
                <w:color w:val="000000"/>
                <w:sz w:val="32"/>
                <w:szCs w:val="32"/>
              </w:rPr>
              <w:t>加快优质粮源基地建设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结合粮食生产功能区、重要农产品生产保护区、特色农产品优势区建设，</w:t>
            </w:r>
            <w:r>
              <w:rPr>
                <w:rFonts w:hint="default" w:ascii="Times New Roman" w:hAnsi="Times New Roman" w:eastAsia="仿宋_GB2312" w:cs="Times New Roman"/>
                <w:sz w:val="32"/>
                <w:szCs w:val="32"/>
              </w:rPr>
              <w:t>争取到2025年产量达到</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万吨。</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w:t>
            </w:r>
            <w:r>
              <w:rPr>
                <w:rFonts w:hint="default" w:ascii="Times New Roman" w:hAnsi="Times New Roman" w:eastAsia="楷体_GB2312" w:cs="Times New Roman"/>
                <w:b/>
                <w:bCs/>
                <w:color w:val="000000"/>
                <w:kern w:val="0"/>
                <w:sz w:val="32"/>
                <w:szCs w:val="32"/>
              </w:rPr>
              <w:t>推动产业集聚发展。</w:t>
            </w:r>
            <w:r>
              <w:rPr>
                <w:rFonts w:hint="default" w:ascii="Times New Roman" w:hAnsi="Times New Roman" w:eastAsia="仿宋_GB2312" w:cs="Times New Roman"/>
                <w:color w:val="000000"/>
                <w:sz w:val="32"/>
                <w:szCs w:val="32"/>
              </w:rPr>
              <w:t>依托粮食主产区、特色粮油产区和关键粮食物流节点，完善进口粮食临港深加工产业链，积极打造区域性粮食物流产业园区，构建面向东盟的粮食大通道</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楷体_GB2312" w:cs="Times New Roman"/>
                <w:b/>
                <w:sz w:val="32"/>
                <w:szCs w:val="32"/>
              </w:rPr>
              <w:t>（三）</w:t>
            </w:r>
            <w:r>
              <w:rPr>
                <w:rFonts w:hint="default" w:ascii="Times New Roman" w:hAnsi="Times New Roman" w:eastAsia="楷体_GB2312" w:cs="Times New Roman"/>
                <w:b/>
                <w:bCs/>
                <w:color w:val="000000"/>
                <w:sz w:val="32"/>
                <w:szCs w:val="32"/>
              </w:rPr>
              <w:t>大力发展粮油精深加工与转化。</w:t>
            </w:r>
            <w:r>
              <w:rPr>
                <w:rFonts w:hint="default" w:ascii="Times New Roman" w:hAnsi="Times New Roman" w:eastAsia="仿宋_GB2312" w:cs="Times New Roman"/>
                <w:color w:val="000000"/>
                <w:sz w:val="32"/>
                <w:szCs w:val="32"/>
              </w:rPr>
              <w:t>加快推进粮食供给侧结构性改革，以粮油精深加工转化和副产品综合利用为引擎，促进粮食加工产品向功能性食品方向发展。</w:t>
            </w:r>
          </w:p>
        </w:tc>
      </w:tr>
    </w:tbl>
    <w:p>
      <w:pPr>
        <w:pStyle w:val="2"/>
        <w:overflowPunct w:val="0"/>
        <w:spacing w:before="120" w:beforeLines="50" w:after="120" w:afterLines="50"/>
        <w:rPr>
          <w:rFonts w:hint="default" w:ascii="Times New Roman" w:hAnsi="Times New Roman" w:eastAsia="方正小标宋简体" w:cs="Times New Roman"/>
          <w:b w:val="0"/>
          <w:bCs w:val="0"/>
        </w:rPr>
      </w:pPr>
    </w:p>
    <w:p>
      <w:pPr>
        <w:spacing w:line="560" w:lineRule="exact"/>
        <w:rPr>
          <w:rFonts w:hint="default" w:ascii="Times New Roman" w:hAnsi="Times New Roman" w:cs="Times New Roman"/>
        </w:rPr>
      </w:pPr>
    </w:p>
    <w:p>
      <w:pPr>
        <w:pStyle w:val="2"/>
        <w:overflowPunct w:val="0"/>
        <w:spacing w:before="120" w:beforeLines="50" w:after="120" w:afterLines="50"/>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第五章  大力打造统一高效的物资储备保障</w:t>
      </w:r>
      <w:bookmarkEnd w:id="52"/>
      <w:bookmarkEnd w:id="53"/>
      <w:bookmarkEnd w:id="54"/>
      <w:bookmarkStart w:id="72" w:name="_Toc26985"/>
      <w:bookmarkStart w:id="73" w:name="_Toc29091"/>
      <w:bookmarkStart w:id="74" w:name="_Toc20794"/>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体系，增强抵御重大风险能力</w:t>
      </w:r>
      <w:bookmarkEnd w:id="55"/>
      <w:bookmarkEnd w:id="56"/>
      <w:bookmarkEnd w:id="72"/>
      <w:bookmarkEnd w:id="73"/>
      <w:bookmarkEnd w:id="74"/>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按照集中管理、统一调拨、平时服务、灾时应急、采储结合、节约高效的原则，优布局、增品种、扩规模、强管理、提速度，增强抵御重大风险能力。</w:t>
      </w:r>
    </w:p>
    <w:p>
      <w:pPr>
        <w:pStyle w:val="3"/>
        <w:overflowPunct w:val="0"/>
        <w:spacing w:after="200" w:line="560" w:lineRule="exact"/>
        <w:jc w:val="center"/>
        <w:rPr>
          <w:rFonts w:hint="default" w:ascii="Times New Roman" w:hAnsi="Times New Roman" w:eastAsia="黑体" w:cs="Times New Roman"/>
          <w:b w:val="0"/>
          <w:bCs w:val="0"/>
        </w:rPr>
      </w:pPr>
      <w:bookmarkStart w:id="75" w:name="_Toc8960"/>
      <w:bookmarkStart w:id="76" w:name="_Toc73888718"/>
      <w:bookmarkStart w:id="77" w:name="_Toc10477"/>
      <w:bookmarkStart w:id="78" w:name="_Toc16451"/>
      <w:bookmarkStart w:id="79" w:name="_Toc4864"/>
      <w:r>
        <w:rPr>
          <w:rFonts w:hint="default" w:ascii="Times New Roman" w:hAnsi="Times New Roman" w:eastAsia="黑体" w:cs="Times New Roman"/>
          <w:b w:val="0"/>
          <w:bCs w:val="0"/>
        </w:rPr>
        <w:t>第一节  提升物资储备能力</w:t>
      </w:r>
      <w:bookmarkEnd w:id="75"/>
      <w:bookmarkEnd w:id="76"/>
      <w:bookmarkEnd w:id="77"/>
      <w:bookmarkEnd w:id="78"/>
      <w:bookmarkEnd w:id="79"/>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构建市县级物资储备体系。</w:t>
      </w:r>
      <w:r>
        <w:rPr>
          <w:rFonts w:hint="default" w:ascii="Times New Roman" w:hAnsi="Times New Roman" w:eastAsia="仿宋_GB2312" w:cs="Times New Roman"/>
          <w:sz w:val="32"/>
          <w:szCs w:val="32"/>
        </w:rPr>
        <w:t>积极争取中央、自治区及地方财政资金，基本建成市县综合物资储备设施，加快推动建设我市县的地方物资储备体系与区级的互联互动，构建统一收储、统一监管、统一轮换、统一调运的物资储备体系。鼓励和引导社区、企事业单位和家庭储备基本的应急自救物资和生活必需品，加快建立政府储备、企业责任储备、商业储备和城乡居民储备有机结合、互为补充的物资储备机制。</w:t>
      </w:r>
      <w:r>
        <w:rPr>
          <w:rFonts w:hint="default" w:ascii="Times New Roman" w:hAnsi="Times New Roman" w:eastAsia="楷体_GB2312" w:cs="Times New Roman"/>
          <w:b/>
          <w:sz w:val="32"/>
          <w:szCs w:val="32"/>
        </w:rPr>
        <w:t>建立健全粮食和物资基础设施统筹利用机制。</w:t>
      </w:r>
      <w:r>
        <w:rPr>
          <w:rFonts w:hint="default" w:ascii="Times New Roman" w:hAnsi="Times New Roman" w:eastAsia="仿宋_GB2312" w:cs="Times New Roman"/>
          <w:sz w:val="32"/>
          <w:szCs w:val="32"/>
        </w:rPr>
        <w:t>建立健全粮食和物资基础设施统筹规划、合理布局、优势互补体制机制，建设综合型仓储设施，加快构建大储备发展格局，实现粮食储备库与物资储备库的资源共享。充分整合利用粮食和物资储备信息化基础资源，实现互联互通和信息共享，强化应用和业务协同。</w:t>
      </w:r>
    </w:p>
    <w:p>
      <w:pPr>
        <w:pStyle w:val="3"/>
        <w:overflowPunct w:val="0"/>
        <w:spacing w:after="200" w:line="560" w:lineRule="exact"/>
        <w:jc w:val="center"/>
        <w:rPr>
          <w:rFonts w:hint="default" w:ascii="Times New Roman" w:hAnsi="Times New Roman" w:eastAsia="黑体" w:cs="Times New Roman"/>
          <w:b w:val="0"/>
          <w:bCs w:val="0"/>
        </w:rPr>
      </w:pPr>
      <w:bookmarkStart w:id="80" w:name="_Toc31201"/>
      <w:bookmarkStart w:id="81" w:name="_Toc9861"/>
      <w:bookmarkStart w:id="82" w:name="_Toc15338"/>
      <w:bookmarkStart w:id="83" w:name="_Toc73888719"/>
      <w:bookmarkStart w:id="84" w:name="_Toc24663"/>
      <w:r>
        <w:rPr>
          <w:rFonts w:hint="default" w:ascii="Times New Roman" w:hAnsi="Times New Roman" w:eastAsia="黑体" w:cs="Times New Roman"/>
          <w:b w:val="0"/>
          <w:bCs w:val="0"/>
        </w:rPr>
        <w:t>第二节  落实重要物资储备规模</w:t>
      </w:r>
      <w:bookmarkEnd w:id="80"/>
      <w:bookmarkEnd w:id="81"/>
      <w:bookmarkEnd w:id="82"/>
      <w:bookmarkEnd w:id="83"/>
      <w:bookmarkEnd w:id="84"/>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建立健全重要物资储备品种目录。</w:t>
      </w:r>
      <w:r>
        <w:rPr>
          <w:rFonts w:hint="default" w:ascii="Times New Roman" w:hAnsi="Times New Roman" w:eastAsia="仿宋_GB2312" w:cs="Times New Roman"/>
          <w:sz w:val="32"/>
          <w:szCs w:val="32"/>
        </w:rPr>
        <w:t>根据自治区有关规定和要求，结合我市人口数量、自然灾害、突发事件和市场需求特点，确定物资储备的品种目录，提升物资储备保障的针对性和有效性。</w:t>
      </w:r>
      <w:r>
        <w:rPr>
          <w:rFonts w:hint="default" w:ascii="Times New Roman" w:hAnsi="Times New Roman" w:eastAsia="楷体_GB2312" w:cs="Times New Roman"/>
          <w:b/>
          <w:sz w:val="32"/>
          <w:szCs w:val="32"/>
        </w:rPr>
        <w:t>落实重要物资储备规模。</w:t>
      </w:r>
      <w:r>
        <w:rPr>
          <w:rFonts w:hint="default" w:ascii="Times New Roman" w:hAnsi="Times New Roman" w:eastAsia="仿宋_GB2312" w:cs="Times New Roman"/>
          <w:sz w:val="32"/>
          <w:szCs w:val="32"/>
        </w:rPr>
        <w:t>参照国家《救灾物资储备库建设标准》，协同自治区有关文件精神，配合市应急管理部门，立足我市发展实际，落实我市各类生活类救灾物资和猪肉等物资的合理储备规模。</w:t>
      </w:r>
    </w:p>
    <w:p>
      <w:pPr>
        <w:pStyle w:val="3"/>
        <w:overflowPunct w:val="0"/>
        <w:spacing w:after="200" w:line="560" w:lineRule="exact"/>
        <w:jc w:val="center"/>
        <w:rPr>
          <w:rFonts w:hint="default" w:ascii="Times New Roman" w:hAnsi="Times New Roman" w:eastAsia="黑体" w:cs="Times New Roman"/>
          <w:b w:val="0"/>
          <w:bCs w:val="0"/>
        </w:rPr>
      </w:pPr>
      <w:bookmarkStart w:id="85" w:name="_Toc14616"/>
      <w:bookmarkStart w:id="86" w:name="_Toc24099"/>
      <w:bookmarkStart w:id="87" w:name="_Toc2899"/>
      <w:bookmarkStart w:id="88" w:name="_Toc15827"/>
      <w:bookmarkStart w:id="89" w:name="_Toc73888720"/>
      <w:r>
        <w:rPr>
          <w:rFonts w:hint="default" w:ascii="Times New Roman" w:hAnsi="Times New Roman" w:eastAsia="黑体" w:cs="Times New Roman"/>
          <w:b w:val="0"/>
          <w:bCs w:val="0"/>
        </w:rPr>
        <w:t>第三节  提升物资储备管理水平</w:t>
      </w:r>
      <w:bookmarkEnd w:id="85"/>
      <w:bookmarkEnd w:id="86"/>
      <w:bookmarkEnd w:id="87"/>
      <w:bookmarkEnd w:id="88"/>
      <w:bookmarkEnd w:id="89"/>
    </w:p>
    <w:p>
      <w:pPr>
        <w:overflowPunct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继续深化物资储备领域改革。</w:t>
      </w:r>
      <w:r>
        <w:rPr>
          <w:rFonts w:hint="default" w:ascii="Times New Roman" w:hAnsi="Times New Roman" w:eastAsia="仿宋_GB2312" w:cs="Times New Roman"/>
          <w:sz w:val="32"/>
          <w:szCs w:val="32"/>
        </w:rPr>
        <w:t>根据自治区对物资储备体系建设的规划，</w:t>
      </w:r>
      <w:r>
        <w:rPr>
          <w:rFonts w:hint="default" w:ascii="Times New Roman" w:hAnsi="Times New Roman" w:eastAsia="仿宋_GB2312" w:cs="Times New Roman"/>
          <w:color w:val="000000"/>
          <w:sz w:val="32"/>
          <w:szCs w:val="32"/>
        </w:rPr>
        <w:t>明确物资储备部门职能职责，建立物资储备中心；进一步理清全市物资储备管理关系。</w:t>
      </w:r>
      <w:r>
        <w:rPr>
          <w:rFonts w:hint="default" w:ascii="Times New Roman" w:hAnsi="Times New Roman" w:eastAsia="仿宋_GB2312" w:cs="Times New Roman"/>
          <w:b/>
          <w:color w:val="000000"/>
          <w:sz w:val="32"/>
          <w:szCs w:val="32"/>
        </w:rPr>
        <w:t>健全完善精准高效的收储轮换机制。</w:t>
      </w:r>
      <w:r>
        <w:rPr>
          <w:rFonts w:hint="default" w:ascii="Times New Roman" w:hAnsi="Times New Roman" w:eastAsia="仿宋_GB2312" w:cs="Times New Roman"/>
          <w:color w:val="000000"/>
          <w:sz w:val="32"/>
          <w:szCs w:val="32"/>
        </w:rPr>
        <w:t>进一步健全完善精准高效的收储轮换机制，推动收储轮换工作从粗放型、经验型向精确型、网络型转变。根据各类储备物资的自然属性与社会属性，实行差别化收储轮换管理。应急物资储备动用后要按期回补，保证数量充足。</w:t>
      </w:r>
      <w:r>
        <w:rPr>
          <w:rFonts w:hint="default" w:ascii="Times New Roman" w:hAnsi="Times New Roman" w:eastAsia="仿宋_GB2312" w:cs="Times New Roman"/>
          <w:b/>
          <w:color w:val="000000"/>
          <w:sz w:val="32"/>
          <w:szCs w:val="32"/>
        </w:rPr>
        <w:t>加快推进物资储备标准化建设。</w:t>
      </w:r>
      <w:r>
        <w:rPr>
          <w:rFonts w:hint="default" w:ascii="Times New Roman" w:hAnsi="Times New Roman" w:eastAsia="仿宋_GB2312" w:cs="Times New Roman"/>
          <w:color w:val="000000"/>
          <w:sz w:val="32"/>
          <w:szCs w:val="32"/>
        </w:rPr>
        <w:t>围绕储备物资安全需要，</w:t>
      </w:r>
      <w:r>
        <w:rPr>
          <w:rFonts w:hint="default" w:ascii="Times New Roman" w:hAnsi="Times New Roman" w:eastAsia="仿宋_GB2312" w:cs="Times New Roman"/>
          <w:sz w:val="32"/>
          <w:szCs w:val="32"/>
        </w:rPr>
        <w:t>针对我市台风、地质灾害等自然灾害频发等特点，</w:t>
      </w:r>
      <w:r>
        <w:rPr>
          <w:rFonts w:hint="default" w:ascii="Times New Roman" w:hAnsi="Times New Roman" w:eastAsia="仿宋_GB2312" w:cs="Times New Roman"/>
          <w:color w:val="000000"/>
          <w:sz w:val="32"/>
          <w:szCs w:val="32"/>
        </w:rPr>
        <w:t>制定物资储备工作应急预案，明确部门职责，落实分级负责，完善上下联动机制。</w:t>
      </w:r>
    </w:p>
    <w:p>
      <w:pPr>
        <w:pStyle w:val="3"/>
        <w:overflowPunct w:val="0"/>
        <w:spacing w:after="200" w:line="560" w:lineRule="exact"/>
        <w:jc w:val="center"/>
        <w:rPr>
          <w:rFonts w:hint="default" w:ascii="Times New Roman" w:hAnsi="Times New Roman" w:eastAsia="黑体" w:cs="Times New Roman"/>
          <w:b w:val="0"/>
          <w:bCs w:val="0"/>
        </w:rPr>
      </w:pPr>
      <w:bookmarkStart w:id="90" w:name="_Toc25768"/>
      <w:bookmarkStart w:id="91" w:name="_Toc5927"/>
      <w:bookmarkStart w:id="92" w:name="_Toc25456"/>
      <w:bookmarkStart w:id="93" w:name="_Toc9940"/>
      <w:bookmarkStart w:id="94" w:name="_Toc73888721"/>
      <w:r>
        <w:rPr>
          <w:rFonts w:hint="default" w:ascii="Times New Roman" w:hAnsi="Times New Roman" w:eastAsia="黑体" w:cs="Times New Roman"/>
          <w:b w:val="0"/>
          <w:bCs w:val="0"/>
        </w:rPr>
        <w:t>第四节  提升应急物资调运快反能力</w:t>
      </w:r>
      <w:bookmarkEnd w:id="90"/>
      <w:bookmarkEnd w:id="91"/>
      <w:bookmarkEnd w:id="92"/>
      <w:bookmarkEnd w:id="93"/>
      <w:bookmarkEnd w:id="94"/>
    </w:p>
    <w:p>
      <w:pPr>
        <w:overflowPunct w:val="0"/>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sz w:val="32"/>
          <w:szCs w:val="32"/>
        </w:rPr>
        <w:t>健全物资储备调拨联动机制。</w:t>
      </w:r>
      <w:r>
        <w:rPr>
          <w:rFonts w:hint="default" w:ascii="Times New Roman" w:hAnsi="Times New Roman" w:eastAsia="仿宋_GB2312" w:cs="Times New Roman"/>
          <w:sz w:val="32"/>
          <w:szCs w:val="32"/>
        </w:rPr>
        <w:t>以区级应急物资储备指挥平台为主导，充分运用现代信息技术，完善市县级各类应急物资储备数据库，形成与区级互联互通、高效便捷的应急物资调度指挥系统。</w:t>
      </w:r>
      <w:r>
        <w:rPr>
          <w:rFonts w:hint="default" w:ascii="Times New Roman" w:hAnsi="Times New Roman" w:eastAsia="楷体_GB2312" w:cs="Times New Roman"/>
          <w:b/>
          <w:sz w:val="32"/>
          <w:szCs w:val="32"/>
        </w:rPr>
        <w:t>构建全社会参与的储备调运物流体系。</w:t>
      </w:r>
      <w:r>
        <w:rPr>
          <w:rFonts w:hint="default" w:ascii="Times New Roman" w:hAnsi="Times New Roman" w:eastAsia="仿宋_GB2312" w:cs="Times New Roman"/>
          <w:sz w:val="32"/>
          <w:szCs w:val="32"/>
        </w:rPr>
        <w:t>立足储备物资调得出、调得快的需要，组建储备物资紧急运输力量，利用社会运输企业资源，构建全社会参与的物资储备调运物流体系。完善跨部门、跨区域合作机制及公路、铁路、航空联动机制，制定物资储备应急响应紧急调运预案。建立军警地应急协调联动机制，构筑军警民融合式应急物资储备调运体系，统一筹划协调应急物资调配行动。</w:t>
      </w:r>
      <w:r>
        <w:rPr>
          <w:rFonts w:hint="default" w:ascii="Times New Roman" w:hAnsi="Times New Roman" w:eastAsia="楷体_GB2312" w:cs="Times New Roman"/>
          <w:b/>
          <w:sz w:val="32"/>
          <w:szCs w:val="32"/>
        </w:rPr>
        <w:t>组建储备装卸志愿者团队。</w:t>
      </w:r>
      <w:r>
        <w:rPr>
          <w:rFonts w:hint="default" w:ascii="Times New Roman" w:hAnsi="Times New Roman" w:eastAsia="仿宋_GB2312" w:cs="Times New Roman"/>
          <w:sz w:val="32"/>
          <w:szCs w:val="32"/>
        </w:rPr>
        <w:t>按照平时服务社会、战时服务应急的要求，根据当地实际运输需要，组建物资储备装卸志愿队伍，形成基层物资储备综合保障体系。</w:t>
      </w:r>
      <w:bookmarkStart w:id="95" w:name="_Toc12790"/>
      <w:bookmarkStart w:id="96" w:name="_Toc32493"/>
      <w:bookmarkStart w:id="97" w:name="_Toc20443"/>
      <w:bookmarkStart w:id="98" w:name="_Toc73888722"/>
      <w:bookmarkStart w:id="99" w:name="_Toc20964"/>
    </w:p>
    <w:p>
      <w:pPr>
        <w:overflowPunct w:val="0"/>
        <w:spacing w:line="560" w:lineRule="exact"/>
        <w:rPr>
          <w:rFonts w:hint="default" w:ascii="Times New Roman" w:hAnsi="Times New Roman" w:eastAsia="仿宋_GB2312" w:cs="Times New Roman"/>
          <w:sz w:val="32"/>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0" w:type="dxa"/>
            <w:vAlign w:val="center"/>
          </w:tcPr>
          <w:p>
            <w:pPr>
              <w:spacing w:line="56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 xml:space="preserve">  物资储备保障提升行动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9060" w:type="dxa"/>
            <w:vAlign w:val="center"/>
          </w:tcPr>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（一）构建市县级物资储备体系。</w:t>
            </w:r>
            <w:r>
              <w:rPr>
                <w:rFonts w:hint="default" w:ascii="Times New Roman" w:hAnsi="Times New Roman" w:eastAsia="仿宋_GB2312" w:cs="Times New Roman"/>
                <w:sz w:val="32"/>
                <w:szCs w:val="32"/>
              </w:rPr>
              <w:t>加快推动建设我市县的地方物资储备体系与区级的互联互动，构建统一收储、统一监管、统一轮换、统一调运的物资储备体系。</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（二）健全重要物资储备品种目录。</w:t>
            </w:r>
            <w:r>
              <w:rPr>
                <w:rFonts w:hint="default" w:ascii="Times New Roman" w:hAnsi="Times New Roman" w:eastAsia="仿宋_GB2312" w:cs="Times New Roman"/>
                <w:sz w:val="32"/>
                <w:szCs w:val="32"/>
              </w:rPr>
              <w:t>确定物资储备的品种目录，提升物资储备保障的针对性和有效性，立足我市发展实际，落实我市各类生活类救灾物资和猪肉等物资的合理储备规模。</w:t>
            </w:r>
          </w:p>
          <w:p>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（三）提升物资储备管理水平。</w:t>
            </w:r>
            <w:r>
              <w:rPr>
                <w:rFonts w:hint="default" w:ascii="Times New Roman" w:hAnsi="Times New Roman" w:eastAsia="仿宋_GB2312" w:cs="Times New Roman"/>
                <w:color w:val="000000"/>
                <w:sz w:val="32"/>
                <w:szCs w:val="32"/>
              </w:rPr>
              <w:t>理清全市物资储备管理关系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明确物资储备部门职能职责，建立物资储备中心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健全完善精准高效的收储轮换机制，围绕储备物资安全需要，制定物资储备工作应急预案</w:t>
            </w:r>
            <w:r>
              <w:rPr>
                <w:rFonts w:hint="default" w:ascii="Times New Roman" w:hAnsi="Times New Roman" w:eastAsia="仿宋_GB2312" w:cs="Times New Roman"/>
                <w:color w:val="000000"/>
                <w:sz w:val="32"/>
                <w:szCs w:val="32"/>
                <w:lang w:eastAsia="zh-CN"/>
              </w:rPr>
              <w:t>。</w:t>
            </w:r>
          </w:p>
        </w:tc>
      </w:tr>
    </w:tbl>
    <w:p>
      <w:pPr>
        <w:pStyle w:val="2"/>
        <w:overflowPunct w:val="0"/>
        <w:jc w:val="center"/>
        <w:rPr>
          <w:rFonts w:hint="default" w:ascii="Times New Roman" w:hAnsi="Times New Roman" w:cs="Times New Roman"/>
        </w:rPr>
        <w:sectPr>
          <w:pgSz w:w="11907" w:h="16840"/>
          <w:pgMar w:top="1587" w:right="1474" w:bottom="1474" w:left="1587" w:header="851" w:footer="992" w:gutter="0"/>
          <w:pgNumType w:fmt="numberInDash"/>
          <w:cols w:space="425" w:num="1"/>
          <w:docGrid w:linePitch="579" w:charSpace="-849"/>
        </w:sectPr>
      </w:pP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第六章  加快建设现代粮食仓储物流体系，</w:t>
      </w:r>
      <w:bookmarkEnd w:id="95"/>
      <w:bookmarkEnd w:id="96"/>
      <w:bookmarkEnd w:id="97"/>
    </w:p>
    <w:p>
      <w:pPr>
        <w:pStyle w:val="2"/>
        <w:overflowPunct w:val="0"/>
        <w:spacing w:before="120" w:beforeLines="50" w:after="120" w:afterLines="50"/>
        <w:jc w:val="center"/>
        <w:rPr>
          <w:rFonts w:hint="default" w:ascii="Times New Roman" w:hAnsi="Times New Roman" w:eastAsia="黑体" w:cs="Times New Roman"/>
          <w:b w:val="0"/>
          <w:bCs w:val="0"/>
        </w:rPr>
      </w:pPr>
      <w:bookmarkStart w:id="100" w:name="_Toc7844"/>
      <w:bookmarkStart w:id="101" w:name="_Toc4472"/>
      <w:bookmarkStart w:id="102" w:name="_Toc2077"/>
      <w:bookmarkStart w:id="103" w:name="_Toc31112"/>
      <w:r>
        <w:rPr>
          <w:rFonts w:hint="default" w:ascii="Times New Roman" w:hAnsi="Times New Roman" w:eastAsia="方正小标宋简体" w:cs="Times New Roman"/>
          <w:b w:val="0"/>
          <w:bCs w:val="0"/>
        </w:rPr>
        <w:t>增强粮食流通能力</w:t>
      </w:r>
      <w:bookmarkEnd w:id="98"/>
      <w:bookmarkEnd w:id="99"/>
      <w:bookmarkEnd w:id="100"/>
      <w:bookmarkEnd w:id="101"/>
      <w:bookmarkEnd w:id="102"/>
      <w:bookmarkEnd w:id="103"/>
      <w:bookmarkStart w:id="104" w:name="_Toc17152"/>
      <w:bookmarkStart w:id="105" w:name="_Toc13642"/>
      <w:bookmarkStart w:id="106" w:name="_Toc4978"/>
      <w:bookmarkStart w:id="107" w:name="_Toc73888723"/>
      <w:bookmarkStart w:id="108" w:name="_Toc3173"/>
    </w:p>
    <w:p>
      <w:pPr>
        <w:pStyle w:val="3"/>
        <w:overflowPunct w:val="0"/>
        <w:spacing w:after="200" w:line="560" w:lineRule="exact"/>
        <w:jc w:val="left"/>
        <w:rPr>
          <w:rFonts w:hint="default" w:ascii="Times New Roman" w:hAnsi="Times New Roman" w:eastAsia="仿宋_GB2312" w:cs="Times New Roman"/>
          <w:sz w:val="32"/>
          <w:szCs w:val="32"/>
        </w:rPr>
      </w:pPr>
    </w:p>
    <w:p>
      <w:pPr>
        <w:pStyle w:val="3"/>
        <w:overflowPunct w:val="0"/>
        <w:spacing w:after="200" w:line="560" w:lineRule="exact"/>
        <w:ind w:firstLine="640" w:firstLineChars="200"/>
        <w:jc w:val="left"/>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充分</w:t>
      </w:r>
      <w:r>
        <w:rPr>
          <w:rFonts w:hint="default" w:ascii="Times New Roman" w:hAnsi="Times New Roman" w:eastAsia="仿宋_GB2312" w:cs="Times New Roman"/>
          <w:b w:val="0"/>
          <w:bCs w:val="0"/>
          <w:sz w:val="32"/>
          <w:szCs w:val="32"/>
          <w:lang w:eastAsia="zh-CN"/>
        </w:rPr>
        <w:t>发挥</w:t>
      </w:r>
      <w:r>
        <w:rPr>
          <w:rFonts w:hint="default" w:ascii="Times New Roman" w:hAnsi="Times New Roman" w:eastAsia="仿宋_GB2312" w:cs="Times New Roman"/>
          <w:b w:val="0"/>
          <w:bCs w:val="0"/>
          <w:sz w:val="32"/>
          <w:szCs w:val="32"/>
        </w:rPr>
        <w:t>临海优势，完善陆海粮食物流通道</w:t>
      </w:r>
      <w:r>
        <w:rPr>
          <w:rFonts w:hint="default" w:ascii="Times New Roman" w:hAnsi="Times New Roman" w:eastAsia="仿宋_GB2312" w:cs="Times New Roman"/>
          <w:b w:val="0"/>
          <w:bCs w:val="0"/>
          <w:sz w:val="32"/>
          <w:szCs w:val="32"/>
          <w:lang w:eastAsia="zh-CN"/>
        </w:rPr>
        <w:t>，提升</w:t>
      </w:r>
      <w:r>
        <w:rPr>
          <w:rFonts w:hint="default" w:ascii="Times New Roman" w:hAnsi="Times New Roman" w:eastAsia="仿宋_GB2312" w:cs="Times New Roman"/>
          <w:b w:val="0"/>
          <w:bCs w:val="0"/>
          <w:sz w:val="32"/>
          <w:szCs w:val="32"/>
        </w:rPr>
        <w:t>粮食仓储设施</w:t>
      </w:r>
      <w:r>
        <w:rPr>
          <w:rFonts w:hint="default" w:ascii="Times New Roman" w:hAnsi="Times New Roman" w:eastAsia="仿宋_GB2312" w:cs="Times New Roman"/>
          <w:b w:val="0"/>
          <w:bCs w:val="0"/>
          <w:sz w:val="32"/>
          <w:szCs w:val="32"/>
          <w:lang w:eastAsia="zh-CN"/>
        </w:rPr>
        <w:t>功能，提高</w:t>
      </w:r>
      <w:r>
        <w:rPr>
          <w:rFonts w:hint="default" w:ascii="Times New Roman" w:hAnsi="Times New Roman" w:eastAsia="仿宋_GB2312" w:cs="Times New Roman"/>
          <w:b w:val="0"/>
          <w:bCs w:val="0"/>
          <w:sz w:val="32"/>
          <w:szCs w:val="32"/>
        </w:rPr>
        <w:t>粮食物流服务水平</w:t>
      </w:r>
      <w:r>
        <w:rPr>
          <w:rFonts w:hint="default" w:ascii="Times New Roman" w:hAnsi="Times New Roman" w:eastAsia="仿宋_GB2312" w:cs="Times New Roman"/>
          <w:b w:val="0"/>
          <w:bCs w:val="0"/>
          <w:sz w:val="32"/>
          <w:szCs w:val="32"/>
          <w:lang w:eastAsia="zh-CN"/>
        </w:rPr>
        <w:t>，增强</w:t>
      </w:r>
      <w:r>
        <w:rPr>
          <w:rFonts w:hint="default" w:ascii="Times New Roman" w:hAnsi="Times New Roman" w:eastAsia="仿宋_GB2312" w:cs="Times New Roman"/>
          <w:b w:val="0"/>
          <w:bCs w:val="0"/>
          <w:sz w:val="32"/>
          <w:szCs w:val="32"/>
        </w:rPr>
        <w:t>粮食流通能力</w:t>
      </w:r>
      <w:r>
        <w:rPr>
          <w:rFonts w:hint="default" w:ascii="Times New Roman" w:hAnsi="Times New Roman" w:eastAsia="仿宋_GB2312" w:cs="Times New Roman"/>
          <w:b w:val="0"/>
          <w:bCs w:val="0"/>
          <w:sz w:val="32"/>
          <w:szCs w:val="32"/>
          <w:lang w:eastAsia="zh-CN"/>
        </w:rPr>
        <w:t>。</w:t>
      </w:r>
    </w:p>
    <w:p>
      <w:pPr>
        <w:pStyle w:val="3"/>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第一节  完善陆海粮食物流</w:t>
      </w:r>
      <w:bookmarkEnd w:id="104"/>
      <w:bookmarkEnd w:id="105"/>
      <w:bookmarkEnd w:id="106"/>
      <w:bookmarkEnd w:id="107"/>
      <w:bookmarkEnd w:id="108"/>
      <w:r>
        <w:rPr>
          <w:rFonts w:hint="default" w:ascii="Times New Roman" w:hAnsi="Times New Roman" w:eastAsia="黑体" w:cs="Times New Roman"/>
          <w:b w:val="0"/>
          <w:bCs w:val="0"/>
        </w:rPr>
        <w:t>通道</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完善沿海粮食通道。</w:t>
      </w:r>
      <w:r>
        <w:rPr>
          <w:rFonts w:hint="default" w:ascii="Times New Roman" w:hAnsi="Times New Roman" w:eastAsia="仿宋_GB2312" w:cs="Times New Roman"/>
          <w:sz w:val="32"/>
          <w:szCs w:val="32"/>
        </w:rPr>
        <w:t>充分发挥临海海运成本低的优势，以钦州港为节点，加快打造钦州港往桂北桂东、中南地区的东线出海通道，通过“散改集+海铁联运”优化粮食疏港物流方式，提升海运接卸效率及对接能力。</w:t>
      </w:r>
      <w:r>
        <w:rPr>
          <w:rFonts w:hint="default" w:ascii="Times New Roman" w:hAnsi="Times New Roman" w:eastAsia="楷体_GB2312" w:cs="Times New Roman"/>
          <w:b/>
          <w:sz w:val="32"/>
          <w:szCs w:val="32"/>
        </w:rPr>
        <w:t>完善西部粮食通道。</w:t>
      </w:r>
      <w:r>
        <w:rPr>
          <w:rFonts w:hint="default" w:ascii="Times New Roman" w:hAnsi="Times New Roman" w:eastAsia="仿宋_GB2312" w:cs="Times New Roman"/>
          <w:sz w:val="32"/>
          <w:szCs w:val="32"/>
        </w:rPr>
        <w:t>依托西部陆海新通道，以平陆运河开工建设为契机加强与南宁、贵港等西江黄金水道沿线城市对接，完善面向东盟的粮食进出口通道，拉紧“一带一路”粮食纽带；</w:t>
      </w:r>
      <w:r>
        <w:rPr>
          <w:rFonts w:hint="default" w:ascii="Times New Roman" w:hAnsi="Times New Roman" w:eastAsia="仿宋_GB2312" w:cs="Times New Roman"/>
          <w:sz w:val="32"/>
          <w:szCs w:val="32"/>
          <w:lang w:bidi="ar"/>
        </w:rPr>
        <w:t>紧密对接中东部高品质的粮食需求，加强西部特色粮食流通体系规划衔接。</w:t>
      </w:r>
      <w:r>
        <w:rPr>
          <w:rFonts w:hint="default" w:ascii="Times New Roman" w:hAnsi="Times New Roman" w:eastAsia="楷体_GB2312" w:cs="Times New Roman"/>
          <w:b/>
          <w:sz w:val="32"/>
          <w:szCs w:val="32"/>
        </w:rPr>
        <w:t>加快粮食物流产业园区建设。</w:t>
      </w:r>
      <w:r>
        <w:rPr>
          <w:rFonts w:hint="default" w:ascii="Times New Roman" w:hAnsi="Times New Roman" w:eastAsia="仿宋_GB2312" w:cs="Times New Roman"/>
          <w:sz w:val="32"/>
          <w:szCs w:val="32"/>
        </w:rPr>
        <w:t>充分发挥通道经济优势。利用好钦州市西部陆海新通道枢纽节点优势，加大宣传推广和招商引资的力度，多方筹集资金加快中国——西部沿海粮食产业园区建设，推进项目服务国家安全战略，服务地方经济发展</w:t>
      </w:r>
      <w:r>
        <w:rPr>
          <w:rFonts w:hint="default" w:ascii="Times New Roman" w:hAnsi="Times New Roman" w:eastAsia="仿宋_GB2312" w:cs="Times New Roman"/>
          <w:sz w:val="32"/>
          <w:szCs w:val="32"/>
          <w:lang w:eastAsia="zh-CN"/>
        </w:rPr>
        <w:t>；响应自治区“引粮入桂”号召</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加快推进中储粮钦州仓储物流项目建设</w:t>
      </w:r>
      <w:r>
        <w:rPr>
          <w:rFonts w:hint="default" w:ascii="Times New Roman" w:hAnsi="Times New Roman" w:eastAsia="仿宋_GB2312" w:cs="Times New Roman"/>
          <w:sz w:val="32"/>
          <w:szCs w:val="32"/>
        </w:rPr>
        <w:t>。</w:t>
      </w:r>
    </w:p>
    <w:p>
      <w:pPr>
        <w:pStyle w:val="3"/>
        <w:overflowPunct w:val="0"/>
        <w:spacing w:after="200" w:line="560" w:lineRule="exact"/>
        <w:jc w:val="center"/>
        <w:rPr>
          <w:rFonts w:hint="default" w:ascii="Times New Roman" w:hAnsi="Times New Roman" w:eastAsia="黑体" w:cs="Times New Roman"/>
          <w:b w:val="0"/>
          <w:bCs w:val="0"/>
        </w:rPr>
      </w:pPr>
      <w:bookmarkStart w:id="109" w:name="_Toc19825"/>
      <w:bookmarkStart w:id="110" w:name="_Toc11094"/>
      <w:bookmarkStart w:id="111" w:name="_Toc73888725"/>
      <w:bookmarkStart w:id="112" w:name="_Toc12353"/>
      <w:bookmarkStart w:id="113" w:name="_Toc4619"/>
      <w:r>
        <w:rPr>
          <w:rFonts w:hint="default" w:ascii="Times New Roman" w:hAnsi="Times New Roman" w:eastAsia="黑体" w:cs="Times New Roman"/>
          <w:b w:val="0"/>
          <w:bCs w:val="0"/>
        </w:rPr>
        <w:t>第二节  完善粮食仓储设施</w:t>
      </w:r>
      <w:bookmarkEnd w:id="109"/>
      <w:bookmarkEnd w:id="110"/>
      <w:bookmarkEnd w:id="111"/>
      <w:bookmarkEnd w:id="112"/>
      <w:bookmarkEnd w:id="113"/>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优化粮油仓储设施布局。</w:t>
      </w:r>
      <w:r>
        <w:rPr>
          <w:rFonts w:hint="default" w:ascii="Times New Roman" w:hAnsi="Times New Roman" w:eastAsia="仿宋_GB2312" w:cs="Times New Roman"/>
          <w:sz w:val="32"/>
          <w:szCs w:val="32"/>
        </w:rPr>
        <w:t>统筹利用全市的储粮区域特性、粮食种植加工状况、存量仓储资源等，优化现有仓储设施布局，增强生产与储备、产业与资源、流通与保供的匹配性。与优质粮源基地相衔接，融合对接粮食产后服务中心，打造以收纳和产后服务为主功能的收纳库。</w:t>
      </w:r>
      <w:r>
        <w:rPr>
          <w:rFonts w:hint="default" w:ascii="Times New Roman" w:hAnsi="Times New Roman" w:eastAsia="楷体_GB2312" w:cs="Times New Roman"/>
          <w:b/>
          <w:sz w:val="32"/>
          <w:szCs w:val="32"/>
        </w:rPr>
        <w:t>建设高标准“绿色粮仓”。</w:t>
      </w:r>
      <w:r>
        <w:rPr>
          <w:rFonts w:hint="default" w:ascii="Times New Roman" w:hAnsi="Times New Roman" w:eastAsia="仿宋_GB2312" w:cs="Times New Roman"/>
          <w:sz w:val="32"/>
          <w:szCs w:val="32"/>
        </w:rPr>
        <w:t>依托现有粮食仓储资源，鼓励因地制宜升级改造仓储设施，提升仓房的气密和保温隔热性能，推动粮食分类分级管理和使用，满足“优粮优储”需要。推广应用绿色充氮气调、机械或热泵制冷控温、内环流控温等绿色储粮技术，提高收储环节粮食品质保障能力。</w:t>
      </w:r>
      <w:r>
        <w:rPr>
          <w:rFonts w:hint="default" w:ascii="Times New Roman" w:hAnsi="Times New Roman" w:eastAsia="楷体_GB2312" w:cs="Times New Roman"/>
          <w:b/>
          <w:sz w:val="32"/>
          <w:szCs w:val="32"/>
        </w:rPr>
        <w:t>推广应用粮库智能信息化管理系统。</w:t>
      </w:r>
      <w:r>
        <w:rPr>
          <w:rFonts w:hint="default" w:ascii="Times New Roman" w:hAnsi="Times New Roman" w:eastAsia="仿宋_GB2312" w:cs="Times New Roman"/>
          <w:sz w:val="32"/>
          <w:szCs w:val="32"/>
        </w:rPr>
        <w:t>推进粮库信息化升级改造，加强新技术示范应用，完善动态粮情数据采集体系，强化粮情在线监测和智能化控制功能，增强信息化建设效果。</w:t>
      </w:r>
    </w:p>
    <w:p>
      <w:pPr>
        <w:pStyle w:val="3"/>
        <w:overflowPunct w:val="0"/>
        <w:spacing w:after="200" w:line="560" w:lineRule="exact"/>
        <w:jc w:val="center"/>
        <w:rPr>
          <w:rFonts w:hint="default" w:ascii="Times New Roman" w:hAnsi="Times New Roman" w:eastAsia="黑体" w:cs="Times New Roman"/>
          <w:b w:val="0"/>
          <w:bCs w:val="0"/>
        </w:rPr>
      </w:pPr>
      <w:bookmarkStart w:id="114" w:name="_Toc30384"/>
      <w:bookmarkStart w:id="115" w:name="_Toc25365"/>
      <w:bookmarkStart w:id="116" w:name="_Toc19957"/>
      <w:bookmarkStart w:id="117" w:name="_Toc73888726"/>
      <w:bookmarkStart w:id="118" w:name="_Toc31423"/>
      <w:r>
        <w:rPr>
          <w:rFonts w:hint="default" w:ascii="Times New Roman" w:hAnsi="Times New Roman" w:eastAsia="黑体" w:cs="Times New Roman"/>
          <w:b w:val="0"/>
          <w:bCs w:val="0"/>
        </w:rPr>
        <w:t>第三节  完善粮食物流服务水平</w:t>
      </w:r>
      <w:bookmarkEnd w:id="114"/>
      <w:bookmarkEnd w:id="115"/>
      <w:bookmarkEnd w:id="116"/>
      <w:bookmarkEnd w:id="117"/>
      <w:bookmarkEnd w:id="118"/>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完善配送体系。</w:t>
      </w:r>
      <w:r>
        <w:rPr>
          <w:rFonts w:hint="default" w:ascii="Times New Roman" w:hAnsi="Times New Roman" w:eastAsia="仿宋_GB2312" w:cs="Times New Roman"/>
          <w:sz w:val="32"/>
          <w:szCs w:val="32"/>
        </w:rPr>
        <w:t>以社区粮食配送服务中心为重点，推动末端综合服务平台建设，解决粮食物流服务“最后一公里”问题。</w:t>
      </w:r>
      <w:r>
        <w:rPr>
          <w:rFonts w:hint="default" w:ascii="Times New Roman" w:hAnsi="Times New Roman" w:eastAsia="楷体_GB2312" w:cs="Times New Roman"/>
          <w:b/>
          <w:sz w:val="32"/>
          <w:szCs w:val="32"/>
        </w:rPr>
        <w:t>优化物流流程。</w:t>
      </w:r>
      <w:r>
        <w:rPr>
          <w:rFonts w:hint="default" w:ascii="Times New Roman" w:hAnsi="Times New Roman" w:eastAsia="仿宋_GB2312" w:cs="Times New Roman"/>
          <w:sz w:val="32"/>
          <w:szCs w:val="32"/>
        </w:rPr>
        <w:t>充分利用大数据等现代信息技术，对交货、运输、中转、分拣、配送等各环节进行优化配置，提升粮食物流服务精准水平。</w:t>
      </w:r>
      <w:r>
        <w:rPr>
          <w:rFonts w:hint="default" w:ascii="Times New Roman" w:hAnsi="Times New Roman" w:eastAsia="楷体_GB2312" w:cs="Times New Roman"/>
          <w:b/>
          <w:sz w:val="32"/>
          <w:szCs w:val="32"/>
        </w:rPr>
        <w:t>推进仓储物流信息共享。</w:t>
      </w:r>
      <w:r>
        <w:rPr>
          <w:rFonts w:hint="default" w:ascii="Times New Roman" w:hAnsi="Times New Roman" w:eastAsia="仿宋_GB2312" w:cs="Times New Roman"/>
          <w:sz w:val="32"/>
          <w:szCs w:val="32"/>
        </w:rPr>
        <w:t>建设我市与区、邻市的粮食仓储物流公共信息共享平台，促进物流业务资源的整合，增强协同能力，实现物流订单、储运能力、物流跟踪等信息及时共享，提升大数据服务能力。</w:t>
      </w:r>
      <w:r>
        <w:rPr>
          <w:rFonts w:hint="default" w:ascii="Times New Roman" w:hAnsi="Times New Roman" w:eastAsia="楷体_GB2312" w:cs="Times New Roman"/>
          <w:b/>
          <w:sz w:val="32"/>
          <w:szCs w:val="32"/>
        </w:rPr>
        <w:t>创新粮食物流服务模式。</w:t>
      </w:r>
      <w:r>
        <w:rPr>
          <w:rFonts w:hint="default" w:ascii="Times New Roman" w:hAnsi="Times New Roman" w:eastAsia="仿宋_GB2312" w:cs="Times New Roman"/>
          <w:sz w:val="32"/>
          <w:szCs w:val="32"/>
        </w:rPr>
        <w:t>探索设施共建、产权共有、利益共赢的物流枢纽共享业务模式。拓展物流协作能力，构建“一站式”粮食多式联运服务模式。</w:t>
      </w:r>
      <w:r>
        <w:rPr>
          <w:rFonts w:hint="default" w:ascii="Times New Roman" w:hAnsi="Times New Roman" w:eastAsia="楷体_GB2312" w:cs="Times New Roman"/>
          <w:b/>
          <w:sz w:val="32"/>
          <w:szCs w:val="32"/>
        </w:rPr>
        <w:t>推动钦州市粮油质量检验中心升级。</w:t>
      </w:r>
      <w:r>
        <w:rPr>
          <w:rFonts w:hint="default" w:ascii="Times New Roman" w:hAnsi="Times New Roman" w:eastAsia="仿宋_GB2312" w:cs="Times New Roman"/>
          <w:sz w:val="32"/>
          <w:szCs w:val="32"/>
        </w:rPr>
        <w:t>适应粮食收储制度和储备制度改革的新形势、新要求，大力拓展第三方服务。紧密围绕提升农民种粮收益，服务产业高质量发展，保障消费者健康权益，提升粮油质检机构质量检测能力，落实市级检验机构资质认证，增加人员编制和检验经费，以权威性的检验报告，全面升级我市粮食质量管理体系。</w:t>
      </w:r>
    </w:p>
    <w:tbl>
      <w:tblPr>
        <w:tblStyle w:val="15"/>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2"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 xml:space="preserve">  粮食仓储物流能力提升工程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062" w:type="dxa"/>
          </w:tcPr>
          <w:p>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（一）仓储设施升级改造。</w:t>
            </w:r>
            <w:r>
              <w:rPr>
                <w:rFonts w:hint="default" w:ascii="Times New Roman" w:hAnsi="Times New Roman" w:eastAsia="仿宋_GB2312" w:cs="Times New Roman"/>
                <w:sz w:val="32"/>
                <w:szCs w:val="32"/>
              </w:rPr>
              <w:t>推广应用绿色储粮技术，实现绿色储粮。鼓励和支持高标准粮仓建设，优化完善粮食储备设施的功能。</w:t>
            </w:r>
          </w:p>
          <w:p>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（二）粮食物流枢纽提质。</w:t>
            </w:r>
            <w:r>
              <w:rPr>
                <w:rFonts w:hint="default" w:ascii="Times New Roman" w:hAnsi="Times New Roman" w:eastAsia="仿宋_GB2312" w:cs="Times New Roman"/>
                <w:sz w:val="32"/>
                <w:szCs w:val="32"/>
              </w:rPr>
              <w:t>全力发挥钦州优势，围绕“建大港、兴产业、造新城、美乡村”四轮驱动战略，建设平陆运河经济带的发展机遇及钦州、防城港、北海三市一体化建设机遇，完善集疏运体系，增强与西部陆海新通道的有效衔接。</w:t>
            </w:r>
          </w:p>
          <w:p>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bidi="ar"/>
              </w:rPr>
              <w:t>（三）粮食物流（产业）园区建设。</w:t>
            </w:r>
            <w:r>
              <w:rPr>
                <w:rFonts w:hint="default" w:ascii="Times New Roman" w:hAnsi="Times New Roman" w:eastAsia="仿宋_GB2312" w:cs="Times New Roman"/>
                <w:sz w:val="32"/>
                <w:szCs w:val="32"/>
                <w:lang w:bidi="ar"/>
              </w:rPr>
              <w:t>加快建设</w:t>
            </w:r>
            <w:r>
              <w:rPr>
                <w:rFonts w:hint="default" w:ascii="Times New Roman" w:hAnsi="Times New Roman" w:eastAsia="仿宋_GB2312" w:cs="Times New Roman"/>
                <w:sz w:val="32"/>
                <w:szCs w:val="32"/>
              </w:rPr>
              <w:t>中国——西部沿海粮食产业园区、</w:t>
            </w:r>
            <w:r>
              <w:rPr>
                <w:rFonts w:hint="default" w:ascii="Times New Roman" w:hAnsi="Times New Roman" w:eastAsia="仿宋_GB2312" w:cs="Times New Roman"/>
                <w:sz w:val="32"/>
                <w:szCs w:val="32"/>
                <w:lang w:eastAsia="zh-CN"/>
              </w:rPr>
              <w:t>中储粮钦州仓储物流项目建设、</w:t>
            </w:r>
            <w:r>
              <w:rPr>
                <w:rFonts w:hint="default" w:ascii="Times New Roman" w:hAnsi="Times New Roman" w:eastAsia="仿宋_GB2312" w:cs="Times New Roman"/>
                <w:sz w:val="32"/>
                <w:szCs w:val="32"/>
                <w:lang w:val="en-US" w:eastAsia="zh-CN"/>
              </w:rPr>
              <w:t>钦北区粮食应急分拨综合物流设施项目</w:t>
            </w:r>
            <w:r>
              <w:rPr>
                <w:rFonts w:hint="eastAsia" w:ascii="Times New Roman" w:hAnsi="Times New Roman" w:eastAsia="仿宋_GB2312" w:cs="Times New Roman"/>
                <w:sz w:val="32"/>
                <w:szCs w:val="32"/>
                <w:lang w:val="en-US" w:eastAsia="zh-CN"/>
              </w:rPr>
              <w:t>、北部湾（钦州）国际粮食加工产业园项目、钦南区临港特色农产品（辣椒、海产品）仓储冷链物流配送中心项目、浦北县农产品冷链仓储物流设施建设项目。</w:t>
            </w:r>
          </w:p>
        </w:tc>
      </w:tr>
    </w:tbl>
    <w:p>
      <w:pPr>
        <w:overflowPunct w:val="0"/>
        <w:spacing w:line="560" w:lineRule="exact"/>
        <w:rPr>
          <w:rFonts w:hint="default" w:ascii="Times New Roman" w:hAnsi="Times New Roman" w:eastAsia="仿宋_GB2312" w:cs="Times New Roman"/>
          <w:color w:val="000000" w:themeColor="text1"/>
          <w:sz w:val="32"/>
          <w:szCs w:val="28"/>
          <w14:textFill>
            <w14:solidFill>
              <w14:schemeClr w14:val="tx1"/>
            </w14:solidFill>
          </w14:textFill>
        </w:rPr>
        <w:sectPr>
          <w:pgSz w:w="11907" w:h="16840"/>
          <w:pgMar w:top="1587" w:right="1474" w:bottom="1474" w:left="1587" w:header="851" w:footer="992" w:gutter="0"/>
          <w:pgNumType w:fmt="numberInDash"/>
          <w:cols w:space="425" w:num="1"/>
          <w:docGrid w:linePitch="579" w:charSpace="-849"/>
        </w:sectPr>
      </w:pPr>
    </w:p>
    <w:p>
      <w:pPr>
        <w:pStyle w:val="2"/>
        <w:overflowPunct w:val="0"/>
        <w:spacing w:before="156" w:beforeLines="50" w:after="156" w:afterLines="50"/>
        <w:jc w:val="center"/>
        <w:rPr>
          <w:rFonts w:hint="default" w:ascii="Times New Roman" w:hAnsi="Times New Roman" w:eastAsia="方正小标宋简体" w:cs="Times New Roman"/>
          <w:b w:val="0"/>
          <w:bCs w:val="0"/>
          <w:color w:val="auto"/>
          <w:sz w:val="44"/>
          <w:szCs w:val="44"/>
          <w:u w:val="none"/>
        </w:rPr>
      </w:pPr>
      <w:r>
        <w:rPr>
          <w:rFonts w:hint="default" w:ascii="Times New Roman" w:hAnsi="Times New Roman" w:eastAsia="方正小标宋简体" w:cs="Times New Roman"/>
          <w:b w:val="0"/>
          <w:bCs w:val="0"/>
          <w:color w:val="auto"/>
          <w:u w:val="none"/>
        </w:rPr>
        <w:t xml:space="preserve">第七章  </w:t>
      </w:r>
      <w:r>
        <w:rPr>
          <w:rFonts w:hint="default" w:ascii="Times New Roman" w:hAnsi="Times New Roman" w:eastAsia="方正小标宋简体" w:cs="Times New Roman"/>
          <w:b w:val="0"/>
          <w:bCs w:val="0"/>
          <w:color w:val="auto"/>
          <w:sz w:val="44"/>
          <w:szCs w:val="44"/>
          <w:u w:val="none"/>
          <w:lang w:eastAsia="zh-CN"/>
        </w:rPr>
        <w:t>推动形成新型军粮供应体系</w:t>
      </w:r>
      <w:r>
        <w:rPr>
          <w:rFonts w:hint="default" w:ascii="Times New Roman" w:hAnsi="Times New Roman" w:eastAsia="方正小标宋简体" w:cs="Times New Roman"/>
          <w:b w:val="0"/>
          <w:bCs w:val="0"/>
          <w:color w:val="auto"/>
          <w:sz w:val="44"/>
          <w:szCs w:val="44"/>
          <w:u w:val="none"/>
        </w:rPr>
        <w:t>，</w:t>
      </w:r>
    </w:p>
    <w:p>
      <w:pPr>
        <w:pStyle w:val="2"/>
        <w:overflowPunct w:val="0"/>
        <w:spacing w:before="156" w:beforeLines="50" w:after="156" w:afterLines="50"/>
        <w:jc w:val="center"/>
        <w:rPr>
          <w:rFonts w:hint="default" w:ascii="Times New Roman" w:hAnsi="Times New Roman" w:eastAsia="方正小标宋简体" w:cs="Times New Roman"/>
          <w:b w:val="0"/>
          <w:bCs w:val="0"/>
          <w:color w:val="auto"/>
          <w:u w:val="none"/>
          <w:lang w:eastAsia="zh-CN"/>
        </w:rPr>
      </w:pPr>
      <w:r>
        <w:rPr>
          <w:rFonts w:hint="default" w:ascii="Times New Roman" w:hAnsi="Times New Roman" w:eastAsia="方正小标宋简体" w:cs="Times New Roman"/>
          <w:b w:val="0"/>
          <w:bCs w:val="0"/>
          <w:color w:val="auto"/>
          <w:sz w:val="44"/>
          <w:szCs w:val="44"/>
          <w:u w:val="none"/>
          <w:lang w:eastAsia="zh-CN"/>
        </w:rPr>
        <w:t>增强军供</w:t>
      </w:r>
      <w:r>
        <w:rPr>
          <w:rFonts w:hint="default" w:ascii="Times New Roman" w:hAnsi="Times New Roman" w:eastAsia="方正小标宋简体" w:cs="Times New Roman"/>
          <w:b w:val="0"/>
          <w:bCs w:val="0"/>
          <w:color w:val="auto"/>
          <w:sz w:val="44"/>
          <w:szCs w:val="44"/>
          <w:u w:val="none"/>
        </w:rPr>
        <w:t>保障能力</w:t>
      </w:r>
      <w:r>
        <w:rPr>
          <w:rFonts w:hint="default" w:ascii="Times New Roman" w:hAnsi="Times New Roman" w:eastAsia="方正小标宋简体" w:cs="Times New Roman"/>
          <w:b w:val="0"/>
          <w:bCs w:val="0"/>
          <w:color w:val="auto"/>
          <w:u w:val="none"/>
          <w:lang w:eastAsia="zh-CN"/>
        </w:rPr>
        <w:tab/>
      </w:r>
    </w:p>
    <w:p>
      <w:pPr>
        <w:overflowPunct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根据自治区“一基地七中心”规划，</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完善军粮供应保障网络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提升应急机动保障能力</w:t>
      </w:r>
      <w:r>
        <w:rPr>
          <w:rFonts w:hint="default" w:ascii="Times New Roman" w:hAnsi="Times New Roman" w:eastAsia="仿宋_GB2312" w:cs="Times New Roman"/>
          <w:sz w:val="32"/>
          <w:szCs w:val="32"/>
          <w:lang w:eastAsia="zh-CN"/>
        </w:rPr>
        <w:t>。</w:t>
      </w:r>
    </w:p>
    <w:p>
      <w:pPr>
        <w:pStyle w:val="3"/>
        <w:overflowPunct w:val="0"/>
        <w:spacing w:after="200" w:line="560" w:lineRule="exact"/>
        <w:jc w:val="center"/>
        <w:rPr>
          <w:rFonts w:hint="default" w:ascii="Times New Roman" w:hAnsi="Times New Roman" w:eastAsia="黑体" w:cs="Times New Roman"/>
          <w:b w:val="0"/>
          <w:bCs w:val="0"/>
          <w:color w:val="auto"/>
          <w:u w:val="none"/>
        </w:rPr>
      </w:pPr>
      <w:r>
        <w:rPr>
          <w:rFonts w:hint="default" w:ascii="Times New Roman" w:hAnsi="Times New Roman" w:eastAsia="黑体" w:cs="Times New Roman"/>
          <w:b w:val="0"/>
          <w:bCs w:val="0"/>
          <w:color w:val="auto"/>
          <w:u w:val="none"/>
        </w:rPr>
        <w:t>第一节  完善军粮供应保障网络</w:t>
      </w:r>
    </w:p>
    <w:p>
      <w:pPr>
        <w:tabs>
          <w:tab w:val="left" w:pos="900"/>
        </w:tabs>
        <w:spacing w:line="560" w:lineRule="exact"/>
        <w:ind w:firstLine="643" w:firstLineChars="200"/>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color w:val="auto"/>
          <w:sz w:val="32"/>
          <w:szCs w:val="32"/>
          <w:u w:val="none"/>
        </w:rPr>
        <w:t>创建“区域型配送”新格局。</w:t>
      </w:r>
      <w:r>
        <w:rPr>
          <w:rFonts w:hint="default" w:ascii="Times New Roman" w:hAnsi="Times New Roman" w:eastAsia="仿宋_GB2312" w:cs="Times New Roman"/>
          <w:color w:val="auto"/>
          <w:sz w:val="32"/>
          <w:szCs w:val="32"/>
          <w:u w:val="none"/>
        </w:rPr>
        <w:t>根据自治区“一基地七中心”规划，以我市现有军粮供应站点为载体，对服务设施进行功能提升，在“十四五”规划中计划建造一条大米分装车间和食用油包装车间，将其建设成边海防一线区域型军粮配送中心，形成区域保障、覆盖钦州、北海、防城港的“区域型配送中心”新格局，全力打造“平时服务、急时应急、战时应战”军粮综合保障网络体系。</w:t>
      </w:r>
      <w:r>
        <w:rPr>
          <w:rFonts w:hint="default" w:ascii="Times New Roman" w:hAnsi="Times New Roman" w:eastAsia="楷体_GB2312" w:cs="Times New Roman"/>
          <w:b/>
          <w:color w:val="auto"/>
          <w:sz w:val="32"/>
          <w:szCs w:val="32"/>
          <w:u w:val="none"/>
        </w:rPr>
        <w:t>进一步推进“高边岛特”军供站维修改造。</w:t>
      </w:r>
      <w:r>
        <w:rPr>
          <w:rFonts w:hint="default" w:ascii="Times New Roman" w:hAnsi="Times New Roman" w:eastAsia="仿宋_GB2312" w:cs="Times New Roman"/>
          <w:color w:val="auto"/>
          <w:sz w:val="32"/>
          <w:szCs w:val="32"/>
          <w:u w:val="none"/>
        </w:rPr>
        <w:t>大力争取中央及各级财政资金支持，积极争取优惠政策，全面提升改造我市“高边岛特”地区军供站服务功能，着力解决房屋破旧、设施老化、仓容不大等突出问题，补齐保障服务能力不足、配送运输能力不强、应急处突水平不高等短板；紧跟国家军粮供应改革步伐，推动“高边岛特”军粮供应管理数字化、智能化转型。</w:t>
      </w:r>
      <w:r>
        <w:rPr>
          <w:rFonts w:hint="default" w:ascii="Times New Roman" w:hAnsi="Times New Roman" w:eastAsia="楷体_GB2312" w:cs="Times New Roman"/>
          <w:b/>
          <w:color w:val="auto"/>
          <w:sz w:val="32"/>
          <w:szCs w:val="32"/>
          <w:u w:val="none"/>
        </w:rPr>
        <w:t>进一步优化配置军粮供应网络布局。</w:t>
      </w:r>
      <w:r>
        <w:rPr>
          <w:rFonts w:hint="default" w:ascii="Times New Roman" w:hAnsi="Times New Roman" w:eastAsia="仿宋_GB2312" w:cs="Times New Roman"/>
          <w:color w:val="auto"/>
          <w:sz w:val="32"/>
          <w:szCs w:val="32"/>
          <w:u w:val="none"/>
        </w:rPr>
        <w:t>根据国家粮食和物资储备局关于优化军粮供应网络的要求，结合我市现行军粮供应情况，经粮食行政管理部门同意后，对全市供应量少的军粮供应站点进行整合撤并，逐步实现区域配送“少站点、大网络、宽辐射”的发展格局。</w:t>
      </w:r>
    </w:p>
    <w:p>
      <w:pPr>
        <w:pStyle w:val="3"/>
        <w:overflowPunct w:val="0"/>
        <w:spacing w:after="200" w:line="560" w:lineRule="exact"/>
        <w:jc w:val="center"/>
        <w:rPr>
          <w:rFonts w:hint="default" w:ascii="Times New Roman" w:hAnsi="Times New Roman" w:eastAsia="黑体" w:cs="Times New Roman"/>
          <w:b w:val="0"/>
          <w:bCs w:val="0"/>
          <w:color w:val="auto"/>
          <w:u w:val="none"/>
        </w:rPr>
      </w:pPr>
      <w:r>
        <w:rPr>
          <w:rFonts w:hint="default" w:ascii="Times New Roman" w:hAnsi="Times New Roman" w:eastAsia="黑体" w:cs="Times New Roman"/>
          <w:b w:val="0"/>
          <w:bCs w:val="0"/>
          <w:color w:val="auto"/>
          <w:u w:val="none"/>
        </w:rPr>
        <w:t>第二节  提升应急机动保障能力</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u w:val="none"/>
        </w:rPr>
        <w:t>探索新形势下军地联合协作机制。</w:t>
      </w:r>
      <w:r>
        <w:rPr>
          <w:rFonts w:hint="default" w:ascii="Times New Roman" w:hAnsi="Times New Roman" w:eastAsia="仿宋_GB2312" w:cs="Times New Roman"/>
          <w:color w:val="auto"/>
          <w:sz w:val="32"/>
          <w:szCs w:val="32"/>
          <w:u w:val="none"/>
        </w:rPr>
        <w:t>拓宽军地协作渠道、丰富协作内容、提高协作层次，推进由局部协作、零散协作向源头协作、系统协作迈进，强化高标准军地协作。加快实现军地信息共享共用，完善重要情况通报会商制度，成立军地应急联合指挥机构，建立健全军地沟通常态化机制。将军粮应急保障体系纳入“十四五”市级粮食应急保障体系，根据《广西区军粮应急保障预案》，研究制定《钦州市军粮应急保障预案》，为部队演练、处置突发事件、抢险救灾及战备、战争状态下的军粮应急提供机制保障。</w:t>
      </w:r>
      <w:r>
        <w:rPr>
          <w:rFonts w:hint="default" w:ascii="Times New Roman" w:hAnsi="Times New Roman" w:eastAsia="楷体_GB2312" w:cs="Times New Roman"/>
          <w:b/>
          <w:color w:val="auto"/>
          <w:sz w:val="32"/>
          <w:szCs w:val="32"/>
          <w:u w:val="none"/>
        </w:rPr>
        <w:t>完善军粮供应应急保障体系。</w:t>
      </w:r>
      <w:r>
        <w:rPr>
          <w:rFonts w:hint="default" w:ascii="Times New Roman" w:hAnsi="Times New Roman" w:eastAsia="仿宋_GB2312" w:cs="Times New Roman"/>
          <w:color w:val="auto"/>
          <w:sz w:val="32"/>
          <w:szCs w:val="32"/>
          <w:u w:val="none"/>
        </w:rPr>
        <w:t>依托现有社会资源，结合《广西区军粮应急保障预案》、“放心粮油工程”、“军民融合工程”，将应急加工企业、放心粮油配送中心和经营网点纳入军粮应急保供体系，充实成品军粮应急储备。将主副食集约化保障纳入应急保障体系，瞄准军队后勤保障需求，统筹军粮系统优势资源，着力打造品种丰富、来源可控、质量可溯的主副食食品应急保障体系，进一步满足部队官兵在应急作战环境下的多样化、营养化、快捷化、方便化需要。</w:t>
      </w:r>
      <w:r>
        <w:rPr>
          <w:rFonts w:hint="default" w:ascii="Times New Roman" w:hAnsi="Times New Roman" w:eastAsia="楷体_GB2312" w:cs="Times New Roman"/>
          <w:b/>
          <w:color w:val="auto"/>
          <w:sz w:val="32"/>
          <w:szCs w:val="32"/>
          <w:u w:val="none"/>
        </w:rPr>
        <w:t>夯实熟食即食食品应急保供基础。</w:t>
      </w:r>
      <w:r>
        <w:rPr>
          <w:rFonts w:hint="default" w:ascii="Times New Roman" w:hAnsi="Times New Roman" w:eastAsia="仿宋_GB2312" w:cs="Times New Roman"/>
          <w:color w:val="auto"/>
          <w:sz w:val="32"/>
          <w:szCs w:val="32"/>
          <w:u w:val="none"/>
        </w:rPr>
        <w:t>探索与熟食加工、储备、供应等大型龙头企业建立长期稳定的合作关系，与信誉好、加工储备能力强的熟食食品加工企业签订供应储备合同，组建熟食即食食品保障联盟，进一步扩充稳定熟食即食来源。依托“十四五”时期军粮供应工程二期及“危仓老库”维修改造项目，进一步完善“高边岛特”熟食即食食品加工、保鲜、储存基础设施，进一步提高“高边岛特”熟食即食储备保供能力。制订供给野战部队方案，实施军粮、半成品、生鲜副食、快餐等野战给养一体化保障，完善野战军供体系。</w:t>
      </w:r>
      <w:r>
        <w:rPr>
          <w:rFonts w:hint="default" w:ascii="Times New Roman" w:hAnsi="Times New Roman" w:eastAsia="楷体_GB2312" w:cs="Times New Roman"/>
          <w:b/>
          <w:color w:val="auto"/>
          <w:sz w:val="32"/>
          <w:szCs w:val="32"/>
          <w:u w:val="none"/>
        </w:rPr>
        <w:t>提升军粮供应应急保障实战能力。</w:t>
      </w:r>
      <w:r>
        <w:rPr>
          <w:rFonts w:hint="default" w:ascii="Times New Roman" w:hAnsi="Times New Roman" w:eastAsia="仿宋_GB2312" w:cs="Times New Roman"/>
          <w:color w:val="auto"/>
          <w:sz w:val="32"/>
          <w:szCs w:val="32"/>
          <w:u w:val="none"/>
        </w:rPr>
        <w:t>制定演练计划，与驻钦各军兵种开展联合实战演练，进一步加强实战演练力度、频次，扩大演练范围，聚焦备战打仗、维稳处突，探索新形势、多情景下军粮供应综合演练新路子。</w:t>
      </w:r>
      <w:r>
        <w:rPr>
          <w:rFonts w:hint="default" w:ascii="Times New Roman" w:hAnsi="Times New Roman" w:eastAsia="楷体_GB2312" w:cs="Times New Roman"/>
          <w:b/>
          <w:color w:val="auto"/>
          <w:sz w:val="32"/>
          <w:szCs w:val="32"/>
          <w:u w:val="none"/>
        </w:rPr>
        <w:t>探索建立应急状态下的军地协作机制。</w:t>
      </w:r>
      <w:r>
        <w:rPr>
          <w:rFonts w:hint="default" w:ascii="Times New Roman" w:hAnsi="Times New Roman" w:eastAsia="仿宋_GB2312" w:cs="Times New Roman"/>
          <w:strike w:val="0"/>
          <w:color w:val="auto"/>
          <w:sz w:val="32"/>
          <w:szCs w:val="32"/>
          <w:u w:val="none"/>
        </w:rPr>
        <w:t>建立军地信息共享共用机制和重要情况通报会商制度，提升军地应急物资储备供需有效对接水平。</w:t>
      </w:r>
    </w:p>
    <w:p>
      <w:pPr>
        <w:overflowPunct w:val="0"/>
        <w:spacing w:line="560" w:lineRule="exact"/>
        <w:ind w:firstLine="640" w:firstLineChars="200"/>
        <w:rPr>
          <w:rFonts w:hint="default" w:ascii="Times New Roman" w:hAnsi="Times New Roman" w:eastAsia="仿宋_GB2312" w:cs="Times New Roman"/>
          <w:sz w:val="32"/>
          <w:szCs w:val="32"/>
        </w:rPr>
      </w:pPr>
    </w:p>
    <w:tbl>
      <w:tblPr>
        <w:tblStyle w:val="1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vAlign w:val="center"/>
          </w:tcPr>
          <w:p>
            <w:pPr>
              <w:overflowPunct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 xml:space="preserve">  军粮供应保障提升工程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vAlign w:val="center"/>
          </w:tcPr>
          <w:p>
            <w:pPr>
              <w:overflowPunct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（一）创建“区域型配送中心”新格局。</w:t>
            </w:r>
            <w:r>
              <w:rPr>
                <w:rFonts w:hint="default" w:ascii="Times New Roman" w:hAnsi="Times New Roman" w:eastAsia="仿宋_GB2312" w:cs="Times New Roman"/>
                <w:sz w:val="32"/>
                <w:szCs w:val="32"/>
              </w:rPr>
              <w:t>根据自治区“一基地七中心”规划，以钦州市军粮供应站点为载体，建设1个边海防一线区域型军粮配送中心。</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（二）维修改造“高边岛特”区域军供站基础设施。</w:t>
            </w:r>
            <w:r>
              <w:rPr>
                <w:rFonts w:hint="default" w:ascii="Times New Roman" w:hAnsi="Times New Roman" w:eastAsia="仿宋_GB2312" w:cs="Times New Roman"/>
                <w:sz w:val="32"/>
                <w:szCs w:val="32"/>
              </w:rPr>
              <w:t>以钦州市军粮区域型配送中心项目建设为突破，化解军供“危仓老库”问题。</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（三）构建“少站点、大网络、宽辐射”型军供网络。</w:t>
            </w:r>
            <w:r>
              <w:rPr>
                <w:rFonts w:hint="default" w:ascii="Times New Roman" w:hAnsi="Times New Roman" w:eastAsia="仿宋_GB2312" w:cs="Times New Roman"/>
                <w:sz w:val="32"/>
                <w:szCs w:val="32"/>
              </w:rPr>
              <w:t>优化整合军供站网点进行优化整合，实现资源集约、运营高效、服务优质。</w:t>
            </w:r>
          </w:p>
        </w:tc>
      </w:tr>
    </w:tbl>
    <w:p>
      <w:pPr>
        <w:overflowPunct w:val="0"/>
        <w:spacing w:line="560" w:lineRule="exact"/>
        <w:rPr>
          <w:rFonts w:hint="default" w:ascii="Times New Roman" w:hAnsi="Times New Roman" w:cs="Times New Roman"/>
        </w:rPr>
      </w:pPr>
    </w:p>
    <w:p>
      <w:pPr>
        <w:overflowPunct w:val="0"/>
        <w:spacing w:line="560" w:lineRule="exact"/>
        <w:jc w:val="center"/>
        <w:rPr>
          <w:rFonts w:hint="default" w:ascii="Times New Roman" w:hAnsi="Times New Roman" w:eastAsia="仿宋_GB2312" w:cs="Times New Roman"/>
          <w:b/>
          <w:sz w:val="32"/>
          <w:szCs w:val="32"/>
        </w:rPr>
        <w:sectPr>
          <w:footerReference r:id="rId4" w:type="default"/>
          <w:pgSz w:w="11906" w:h="16838"/>
          <w:pgMar w:top="1587" w:right="1474" w:bottom="1474" w:left="1587" w:header="851" w:footer="992" w:gutter="0"/>
          <w:pgNumType w:fmt="numberInDash"/>
          <w:cols w:space="425" w:num="1"/>
          <w:docGrid w:type="lines" w:linePitch="312" w:charSpace="0"/>
        </w:sectPr>
      </w:pPr>
    </w:p>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19" w:name="_Toc4037"/>
      <w:bookmarkStart w:id="120" w:name="_Toc2528"/>
      <w:bookmarkStart w:id="121" w:name="_Toc8058"/>
      <w:bookmarkStart w:id="122" w:name="_Toc6132"/>
      <w:bookmarkStart w:id="123" w:name="_Toc73888735"/>
      <w:r>
        <w:rPr>
          <w:rFonts w:hint="default" w:ascii="Times New Roman" w:hAnsi="Times New Roman" w:eastAsia="方正小标宋简体" w:cs="Times New Roman"/>
          <w:b w:val="0"/>
          <w:bCs w:val="0"/>
        </w:rPr>
        <w:t>第八章  健全优化现代化行业治理体系，</w:t>
      </w:r>
      <w:bookmarkEnd w:id="119"/>
      <w:bookmarkEnd w:id="120"/>
      <w:bookmarkEnd w:id="121"/>
      <w:bookmarkEnd w:id="122"/>
    </w:p>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24" w:name="_Toc13713"/>
      <w:bookmarkStart w:id="125" w:name="_Toc1096"/>
      <w:bookmarkStart w:id="126" w:name="_Toc18072"/>
      <w:bookmarkStart w:id="127" w:name="_Toc8720"/>
      <w:bookmarkStart w:id="128" w:name="_Toc11303"/>
      <w:r>
        <w:rPr>
          <w:rFonts w:hint="default" w:ascii="Times New Roman" w:hAnsi="Times New Roman" w:eastAsia="方正小标宋简体" w:cs="Times New Roman"/>
          <w:b w:val="0"/>
          <w:bCs w:val="0"/>
        </w:rPr>
        <w:t>提升治理效能</w:t>
      </w:r>
      <w:bookmarkEnd w:id="123"/>
      <w:bookmarkEnd w:id="124"/>
      <w:bookmarkEnd w:id="125"/>
      <w:bookmarkEnd w:id="126"/>
      <w:bookmarkEnd w:id="127"/>
      <w:bookmarkEnd w:id="128"/>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积极推进我市粮食和物资储备领域体制机制建设和法律法规安排，建立健全执法监督体系，积极推进节粮减损，提升粮食和物资储备的治理效能。</w:t>
      </w:r>
    </w:p>
    <w:p>
      <w:pPr>
        <w:pStyle w:val="3"/>
        <w:overflowPunct w:val="0"/>
        <w:spacing w:after="200" w:line="560" w:lineRule="exact"/>
        <w:jc w:val="center"/>
        <w:rPr>
          <w:rFonts w:hint="default" w:ascii="Times New Roman" w:hAnsi="Times New Roman" w:eastAsia="黑体" w:cs="Times New Roman"/>
          <w:b w:val="0"/>
          <w:bCs w:val="0"/>
        </w:rPr>
      </w:pPr>
      <w:bookmarkStart w:id="129" w:name="_Toc4839"/>
      <w:bookmarkStart w:id="130" w:name="_Toc19037"/>
      <w:bookmarkStart w:id="131" w:name="_Toc21758"/>
      <w:bookmarkStart w:id="132" w:name="_Toc649"/>
      <w:bookmarkStart w:id="133" w:name="_Toc73888736"/>
      <w:r>
        <w:rPr>
          <w:rFonts w:hint="default" w:ascii="Times New Roman" w:hAnsi="Times New Roman" w:eastAsia="黑体" w:cs="Times New Roman"/>
          <w:b w:val="0"/>
          <w:bCs w:val="0"/>
        </w:rPr>
        <w:t>第一节  积极推进地方粮食和物资储备立法修规</w:t>
      </w:r>
      <w:bookmarkEnd w:id="129"/>
      <w:bookmarkEnd w:id="130"/>
      <w:bookmarkEnd w:id="131"/>
      <w:bookmarkEnd w:id="132"/>
      <w:bookmarkEnd w:id="133"/>
    </w:p>
    <w:p>
      <w:pPr>
        <w:overflowPunct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推动出台粮食安全保障办法等地方性法规。</w:t>
      </w:r>
      <w:r>
        <w:rPr>
          <w:rFonts w:hint="default" w:ascii="Times New Roman" w:hAnsi="Times New Roman" w:eastAsia="仿宋_GB2312" w:cs="Times New Roman"/>
          <w:sz w:val="32"/>
          <w:szCs w:val="32"/>
        </w:rPr>
        <w:t>统筹粮食储备和物资储备安全的需要，积极推进地方粮食和物资储备立法修规，根据自治区的政策法规，进一步梳理完善本市的粮食安全保障办法、粮食流通管理、粮食储备安全管理等地方性法规，健全完善物资储备各类规章制度，把粮食安全和储备安全责任落到实处。</w:t>
      </w:r>
      <w:r>
        <w:rPr>
          <w:rFonts w:hint="default" w:ascii="Times New Roman" w:hAnsi="Times New Roman" w:eastAsia="楷体_GB2312" w:cs="Times New Roman"/>
          <w:b/>
          <w:sz w:val="32"/>
          <w:szCs w:val="32"/>
        </w:rPr>
        <w:t>健全完善物资储备各类规章制度。</w:t>
      </w:r>
      <w:r>
        <w:rPr>
          <w:rFonts w:hint="default" w:ascii="Times New Roman" w:hAnsi="Times New Roman" w:eastAsia="仿宋_GB2312" w:cs="Times New Roman"/>
          <w:sz w:val="32"/>
          <w:szCs w:val="32"/>
        </w:rPr>
        <w:t>围绕储备物资安全、未来应急需要，组织技术力量，开展储备设施建设标准、仓储管理操作标准、入库验收标准、出库调运标准等储备领域标准研究，探索制定适应我市的物资储备标准，逐步推进物资储备标准化建设。</w:t>
      </w:r>
    </w:p>
    <w:p>
      <w:pPr>
        <w:pStyle w:val="3"/>
        <w:overflowPunct w:val="0"/>
        <w:spacing w:after="200" w:line="560" w:lineRule="exact"/>
        <w:jc w:val="center"/>
        <w:rPr>
          <w:rFonts w:hint="default" w:ascii="Times New Roman" w:hAnsi="Times New Roman" w:eastAsia="黑体" w:cs="Times New Roman"/>
          <w:b w:val="0"/>
          <w:bCs w:val="0"/>
        </w:rPr>
      </w:pPr>
      <w:bookmarkStart w:id="134" w:name="_Toc28407"/>
      <w:bookmarkStart w:id="135" w:name="_Toc73888737"/>
      <w:bookmarkStart w:id="136" w:name="_Toc27974"/>
      <w:bookmarkStart w:id="137" w:name="_Toc11573"/>
      <w:bookmarkStart w:id="138" w:name="_Toc1032"/>
      <w:r>
        <w:rPr>
          <w:rFonts w:hint="default" w:ascii="Times New Roman" w:hAnsi="Times New Roman" w:eastAsia="黑体" w:cs="Times New Roman"/>
          <w:b w:val="0"/>
          <w:bCs w:val="0"/>
        </w:rPr>
        <w:t>第二节  建立健全执法监督体系</w:t>
      </w:r>
      <w:bookmarkEnd w:id="134"/>
      <w:bookmarkEnd w:id="135"/>
      <w:bookmarkEnd w:id="136"/>
      <w:bookmarkEnd w:id="137"/>
      <w:bookmarkEnd w:id="138"/>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构建以信用监管为核心的新型监管机制。</w:t>
      </w:r>
      <w:r>
        <w:rPr>
          <w:rFonts w:hint="default" w:ascii="Times New Roman" w:hAnsi="Times New Roman" w:eastAsia="仿宋_GB2312" w:cs="Times New Roman"/>
          <w:sz w:val="32"/>
          <w:szCs w:val="32"/>
        </w:rPr>
        <w:t>创新推进“双随机一公开”和“互联网+监管”，采取“四不两直”方式，用好12325全国粮食流通监管热线，加强交叉执法检查、巡查和抽查力度。探索建立信用评价制度，对涉粮涉储严重违法企业实施联合惩戒。完善覆盖全市的粮食和物资储备信用体系，建立健全激励守信和惩戒失信评价机制。</w:t>
      </w:r>
      <w:r>
        <w:rPr>
          <w:rFonts w:hint="default" w:ascii="Times New Roman" w:hAnsi="Times New Roman" w:eastAsia="楷体_GB2312" w:cs="Times New Roman"/>
          <w:b/>
          <w:sz w:val="32"/>
          <w:szCs w:val="32"/>
        </w:rPr>
        <w:t>建立粮食和物资储备监管协作机制。</w:t>
      </w:r>
      <w:r>
        <w:rPr>
          <w:rFonts w:hint="default" w:ascii="Times New Roman" w:hAnsi="Times New Roman" w:eastAsia="仿宋_GB2312" w:cs="Times New Roman"/>
          <w:sz w:val="32"/>
          <w:szCs w:val="32"/>
        </w:rPr>
        <w:t>创新和优化监管方式，打破条块分割，推动地方在执法人员、质检等方面协同配合、相互支持，统筹监管资源，形成监管合力，积极构建便捷高效的协同监管新格局。</w:t>
      </w:r>
      <w:r>
        <w:rPr>
          <w:rFonts w:hint="default" w:ascii="Times New Roman" w:hAnsi="Times New Roman" w:eastAsia="楷体_GB2312" w:cs="Times New Roman"/>
          <w:b/>
          <w:sz w:val="32"/>
          <w:szCs w:val="32"/>
        </w:rPr>
        <w:t>加强执法督查和质量监管队伍建设。</w:t>
      </w:r>
      <w:r>
        <w:rPr>
          <w:rFonts w:hint="default" w:ascii="Times New Roman" w:hAnsi="Times New Roman" w:eastAsia="仿宋_GB2312" w:cs="Times New Roman"/>
          <w:sz w:val="32"/>
          <w:szCs w:val="32"/>
        </w:rPr>
        <w:t>强化执法督查和质量监管工作培训，充实完善粮食和物资储备监管专家库。吸纳更多专业人才，建立执法督查人才共享机制，实现专家库资源多途径共享。</w:t>
      </w:r>
    </w:p>
    <w:p>
      <w:pPr>
        <w:pStyle w:val="3"/>
        <w:overflowPunct w:val="0"/>
        <w:spacing w:after="200" w:line="560" w:lineRule="exact"/>
        <w:jc w:val="center"/>
        <w:rPr>
          <w:rFonts w:hint="default" w:ascii="Times New Roman" w:hAnsi="Times New Roman" w:eastAsia="黑体" w:cs="Times New Roman"/>
          <w:b w:val="0"/>
          <w:bCs w:val="0"/>
        </w:rPr>
      </w:pPr>
      <w:bookmarkStart w:id="139" w:name="_Toc15590"/>
      <w:bookmarkStart w:id="140" w:name="_Toc3880"/>
      <w:bookmarkStart w:id="141" w:name="_Toc73888739"/>
      <w:bookmarkStart w:id="142" w:name="_Toc23189"/>
      <w:bookmarkStart w:id="143" w:name="_Toc12909"/>
      <w:r>
        <w:rPr>
          <w:rFonts w:hint="default" w:ascii="Times New Roman" w:hAnsi="Times New Roman" w:eastAsia="黑体" w:cs="Times New Roman"/>
          <w:b w:val="0"/>
          <w:bCs w:val="0"/>
        </w:rPr>
        <w:t>第三节 大力推进节粮减损</w:t>
      </w:r>
      <w:bookmarkEnd w:id="139"/>
      <w:bookmarkEnd w:id="140"/>
      <w:bookmarkEnd w:id="141"/>
      <w:bookmarkEnd w:id="142"/>
      <w:bookmarkEnd w:id="143"/>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强化全链条，减少粮食损失消费。</w:t>
      </w:r>
      <w:r>
        <w:rPr>
          <w:rFonts w:hint="default" w:ascii="Times New Roman" w:hAnsi="Times New Roman" w:eastAsia="仿宋_GB2312" w:cs="Times New Roman"/>
          <w:sz w:val="32"/>
          <w:szCs w:val="32"/>
        </w:rPr>
        <w:t>完善粮食产后服务体系，提高粮食清理烘干能力，提升仓储设施功能，争取颗粒归仓。大力推广“四散”（散装、散运、散卸、散储）技术，提升粮食物流技术装备水平，发展多式联运，减少原粮运输损耗。积极开展适度加工，提升综合利用水平。完善粮油加工技术标准体系，支持加工企业改进加工工艺，淘汰落后产能，提升粮食加工出品率。逐步形成科学、健康、文明的消费习惯，避免盲目追求口粮“亮、白、精”。</w:t>
      </w:r>
      <w:r>
        <w:rPr>
          <w:rFonts w:hint="default" w:ascii="Times New Roman" w:hAnsi="Times New Roman" w:eastAsia="楷体_GB2312" w:cs="Times New Roman"/>
          <w:b/>
          <w:sz w:val="32"/>
          <w:szCs w:val="32"/>
        </w:rPr>
        <w:t>完善节粮减损的制度支撑。</w:t>
      </w:r>
      <w:r>
        <w:rPr>
          <w:rFonts w:hint="default" w:ascii="Times New Roman" w:hAnsi="Times New Roman" w:eastAsia="仿宋_GB2312" w:cs="Times New Roman"/>
          <w:sz w:val="32"/>
          <w:szCs w:val="32"/>
        </w:rPr>
        <w:t>研究制订符合我市实际的粮食产后减损工作的指导意见和行动方案，建立健全粮食产后损失评估体系。</w:t>
      </w:r>
      <w:r>
        <w:rPr>
          <w:rFonts w:hint="default" w:ascii="Times New Roman" w:hAnsi="Times New Roman" w:eastAsia="楷体_GB2312" w:cs="Times New Roman"/>
          <w:b/>
          <w:sz w:val="32"/>
          <w:szCs w:val="32"/>
        </w:rPr>
        <w:t>积极开展教育宣传。</w:t>
      </w:r>
      <w:r>
        <w:rPr>
          <w:rFonts w:hint="default" w:ascii="Times New Roman" w:hAnsi="Times New Roman" w:eastAsia="仿宋_GB2312" w:cs="Times New Roman"/>
          <w:sz w:val="32"/>
          <w:szCs w:val="32"/>
        </w:rPr>
        <w:t>依托粮食企业，充分利用世界粮食日、粮食安全宣传周等深入开展“爱粮节粮“进社区、进家庭、进学校、进军营等行动，培育粮食安全人人有责意识，形成爱粮节粮的良好氛围。</w:t>
      </w:r>
    </w:p>
    <w:p>
      <w:pPr>
        <w:pStyle w:val="3"/>
        <w:overflowPunct w:val="0"/>
        <w:spacing w:after="200" w:line="560" w:lineRule="exact"/>
        <w:jc w:val="center"/>
        <w:rPr>
          <w:rFonts w:hint="default" w:ascii="Times New Roman" w:hAnsi="Times New Roman" w:eastAsia="黑体" w:cs="Times New Roman"/>
          <w:b w:val="0"/>
          <w:bCs w:val="0"/>
        </w:rPr>
      </w:pPr>
      <w:bookmarkStart w:id="144" w:name="_Toc26638"/>
      <w:bookmarkStart w:id="145" w:name="_Toc6557"/>
      <w:bookmarkStart w:id="146" w:name="_Toc28420"/>
      <w:bookmarkStart w:id="147" w:name="_Toc21154"/>
      <w:r>
        <w:rPr>
          <w:rFonts w:hint="default" w:ascii="Times New Roman" w:hAnsi="Times New Roman" w:eastAsia="黑体" w:cs="Times New Roman"/>
          <w:b w:val="0"/>
          <w:bCs w:val="0"/>
        </w:rPr>
        <w:t>第四节 压紧压实安全生产责任</w:t>
      </w:r>
      <w:bookmarkEnd w:id="144"/>
      <w:bookmarkEnd w:id="145"/>
      <w:bookmarkEnd w:id="146"/>
      <w:bookmarkEnd w:id="147"/>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积极推动企业落实安全生产主体责任。</w:t>
      </w:r>
      <w:r>
        <w:rPr>
          <w:rFonts w:hint="default" w:ascii="Times New Roman" w:hAnsi="Times New Roman" w:eastAsia="仿宋_GB2312" w:cs="Times New Roman"/>
          <w:sz w:val="32"/>
          <w:szCs w:val="32"/>
        </w:rPr>
        <w:t>完善形成以安全生产主体责任体系、安全生产管理制度、安全预防控制体系、安全生产服务体系为重点的安全预防控制体系，提升本质安全水平，有效遏制重特大事故发生。</w:t>
      </w:r>
      <w:r>
        <w:rPr>
          <w:rFonts w:hint="default" w:ascii="Times New Roman" w:hAnsi="Times New Roman" w:eastAsia="楷体_GB2312" w:cs="Times New Roman"/>
          <w:b/>
          <w:sz w:val="32"/>
          <w:szCs w:val="32"/>
        </w:rPr>
        <w:t>着力提升基础支撑保障能力。</w:t>
      </w:r>
      <w:r>
        <w:rPr>
          <w:rFonts w:hint="default" w:ascii="Times New Roman" w:hAnsi="Times New Roman" w:eastAsia="仿宋_GB2312" w:cs="Times New Roman"/>
          <w:sz w:val="32"/>
          <w:szCs w:val="32"/>
        </w:rPr>
        <w:t>加强粮食和物资领域安全基础设施建设，落实安全生产经费保障，大力推进信息技术与安全生产的深度融合，不断夯实我市粮食和物资储备行业领域安全基础。</w:t>
      </w:r>
      <w:r>
        <w:rPr>
          <w:rFonts w:hint="default" w:ascii="Times New Roman" w:hAnsi="Times New Roman" w:eastAsia="楷体_GB2312" w:cs="Times New Roman"/>
          <w:b/>
          <w:sz w:val="32"/>
          <w:szCs w:val="32"/>
        </w:rPr>
        <w:t>努力提高从业人员的安全素质能力。</w:t>
      </w:r>
      <w:r>
        <w:rPr>
          <w:rFonts w:hint="default" w:ascii="Times New Roman" w:hAnsi="Times New Roman" w:eastAsia="仿宋_GB2312" w:cs="Times New Roman"/>
          <w:sz w:val="32"/>
          <w:szCs w:val="32"/>
        </w:rPr>
        <w:t>建立粮食和物资储备行业领域从业人员的教育培训演练常态化制度，切实提高从业人员对已知风险和潜在风险的分析、规避和处置能力。</w:t>
      </w:r>
    </w:p>
    <w:p>
      <w:pPr>
        <w:overflowPunct w:val="0"/>
        <w:spacing w:line="560" w:lineRule="exact"/>
        <w:ind w:firstLine="640" w:firstLineChars="200"/>
        <w:rPr>
          <w:rFonts w:hint="default" w:ascii="Times New Roman" w:hAnsi="Times New Roman" w:eastAsia="仿宋_GB2312" w:cs="Times New Roman"/>
          <w:sz w:val="32"/>
          <w:szCs w:val="32"/>
        </w:rPr>
      </w:pPr>
    </w:p>
    <w:tbl>
      <w:tblPr>
        <w:tblStyle w:val="1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六</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粮食节约减损和健康消费提升行动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071" w:type="dxa"/>
            <w:vAlign w:val="center"/>
          </w:tcPr>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完善产后服务体系，深入开展农户科学储粮专项，提升粮食清理、干燥、存储、销售等服务能力。结合我市气候环境，积极开展粮食产后减损技术和装备的研发及推广应用。</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积极落实《健康广西行动实施方案》，实施合理膳食行动。大力开展粮食安全宣传教育，创新开展形式多样“爱粮节粮”活动。</w:t>
            </w:r>
          </w:p>
        </w:tc>
      </w:tr>
    </w:tbl>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48" w:name="_Toc10096"/>
      <w:bookmarkStart w:id="149" w:name="_Toc21577"/>
      <w:bookmarkStart w:id="150" w:name="_Toc31676"/>
      <w:bookmarkStart w:id="151" w:name="_Toc5845"/>
      <w:bookmarkStart w:id="152" w:name="_Toc73888740"/>
    </w:p>
    <w:p>
      <w:pPr>
        <w:pStyle w:val="2"/>
        <w:overflowPunct w:val="0"/>
        <w:spacing w:before="156" w:beforeLines="50" w:after="156" w:afterLines="50"/>
        <w:jc w:val="both"/>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第九章  大力夯实科技和人才支撑体系，</w:t>
      </w:r>
      <w:bookmarkEnd w:id="148"/>
      <w:bookmarkEnd w:id="149"/>
      <w:bookmarkEnd w:id="150"/>
    </w:p>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53" w:name="_Toc27328"/>
      <w:bookmarkStart w:id="154" w:name="_Toc9685"/>
      <w:bookmarkStart w:id="155" w:name="_Toc32285"/>
      <w:bookmarkStart w:id="156" w:name="_Toc31765"/>
      <w:r>
        <w:rPr>
          <w:rFonts w:hint="default" w:ascii="Times New Roman" w:hAnsi="Times New Roman" w:eastAsia="方正小标宋简体" w:cs="Times New Roman"/>
          <w:b w:val="0"/>
          <w:bCs w:val="0"/>
        </w:rPr>
        <w:t>增强创新发展能力</w:t>
      </w:r>
      <w:bookmarkEnd w:id="151"/>
      <w:bookmarkEnd w:id="152"/>
      <w:bookmarkEnd w:id="153"/>
      <w:bookmarkEnd w:id="154"/>
      <w:bookmarkEnd w:id="155"/>
      <w:bookmarkEnd w:id="156"/>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加快科技成果应用，创新人才培养模式，推动科技和人才兴粮兴储，夯实粮食和物资储备创新发展的能力。</w:t>
      </w:r>
    </w:p>
    <w:p>
      <w:pPr>
        <w:pStyle w:val="3"/>
        <w:overflowPunct w:val="0"/>
        <w:spacing w:after="200" w:line="560" w:lineRule="exact"/>
        <w:jc w:val="center"/>
        <w:rPr>
          <w:rFonts w:hint="default" w:ascii="Times New Roman" w:hAnsi="Times New Roman" w:eastAsia="黑体" w:cs="Times New Roman"/>
          <w:b w:val="0"/>
          <w:bCs w:val="0"/>
        </w:rPr>
      </w:pPr>
      <w:bookmarkStart w:id="157" w:name="_Toc10033"/>
      <w:bookmarkStart w:id="158" w:name="_Toc29875"/>
      <w:bookmarkStart w:id="159" w:name="_Toc2047"/>
      <w:bookmarkStart w:id="160" w:name="_Toc6697"/>
      <w:bookmarkStart w:id="161" w:name="_Toc73888743"/>
      <w:r>
        <w:rPr>
          <w:rFonts w:hint="default" w:ascii="Times New Roman" w:hAnsi="Times New Roman" w:eastAsia="黑体" w:cs="Times New Roman"/>
          <w:b w:val="0"/>
          <w:bCs w:val="0"/>
        </w:rPr>
        <w:t>第一节  加大科技推广应用</w:t>
      </w:r>
      <w:bookmarkEnd w:id="157"/>
      <w:bookmarkEnd w:id="158"/>
      <w:bookmarkEnd w:id="159"/>
      <w:bookmarkEnd w:id="160"/>
      <w:bookmarkEnd w:id="161"/>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加快发展行业技能培训。</w:t>
      </w:r>
      <w:r>
        <w:rPr>
          <w:rFonts w:hint="default" w:ascii="Times New Roman" w:hAnsi="Times New Roman" w:eastAsia="仿宋_GB2312" w:cs="Times New Roman"/>
          <w:sz w:val="32"/>
          <w:szCs w:val="32"/>
        </w:rPr>
        <w:t>大力实施“人才兴粮兴储”，持续深化粮食物资行业人才发展体制机制改革，优化人才队伍结构，完善培养机制、优化使用机制、改进评价机制、健全激励机制，打造一支规模适度、结构合理、一专多能的新时代粮食物资人才队伍。积极开展粮食行业技术人员培训，继续鼓励市、县区粮油质量保管员、检验员参加区级职业证书培训，打造高技术人才。探索仓储管理岗位改革，鼓励有条件的企业开展“岗位练兵”“技能竞赛”活动，加快培养新时代粮食物资“粮工巧匠”。</w:t>
      </w:r>
      <w:r>
        <w:rPr>
          <w:rFonts w:hint="default" w:ascii="Times New Roman" w:hAnsi="Times New Roman" w:eastAsia="楷体_GB2312" w:cs="Times New Roman"/>
          <w:b/>
          <w:sz w:val="32"/>
          <w:szCs w:val="32"/>
        </w:rPr>
        <w:t>推动仓储技术升级。</w:t>
      </w:r>
      <w:r>
        <w:rPr>
          <w:rFonts w:hint="default" w:ascii="Times New Roman" w:hAnsi="Times New Roman" w:eastAsia="仿宋_GB2312" w:cs="Times New Roman"/>
          <w:sz w:val="32"/>
          <w:szCs w:val="32"/>
        </w:rPr>
        <w:t>提高绿色储粮技术应用比例，推动粮食仓储管理向保质保鲜、“常储常新”迈进。</w:t>
      </w:r>
      <w:r>
        <w:rPr>
          <w:rFonts w:hint="default" w:ascii="Times New Roman" w:hAnsi="Times New Roman" w:eastAsia="楷体_GB2312" w:cs="Times New Roman"/>
          <w:b/>
          <w:sz w:val="32"/>
          <w:szCs w:val="32"/>
        </w:rPr>
        <w:t>鼓励粮油适度加工和深加工技术创新。</w:t>
      </w:r>
      <w:r>
        <w:rPr>
          <w:rFonts w:hint="default" w:ascii="Times New Roman" w:hAnsi="Times New Roman" w:eastAsia="仿宋_GB2312" w:cs="Times New Roman"/>
          <w:sz w:val="32"/>
          <w:szCs w:val="32"/>
        </w:rPr>
        <w:t>鼓励粮油适度加工和深加工技术创新，支持龙头企业粮油品牌开展生产线技术改造和产业升级。</w:t>
      </w:r>
    </w:p>
    <w:p>
      <w:pPr>
        <w:pStyle w:val="3"/>
        <w:overflowPunct w:val="0"/>
        <w:spacing w:after="200" w:line="560" w:lineRule="exact"/>
        <w:jc w:val="center"/>
        <w:rPr>
          <w:rFonts w:hint="default" w:ascii="Times New Roman" w:hAnsi="Times New Roman" w:eastAsia="黑体" w:cs="Times New Roman"/>
          <w:b w:val="0"/>
          <w:bCs w:val="0"/>
        </w:rPr>
      </w:pPr>
      <w:bookmarkStart w:id="162" w:name="_Toc21871"/>
      <w:bookmarkStart w:id="163" w:name="_Toc28185"/>
      <w:bookmarkStart w:id="164" w:name="_Toc17285"/>
      <w:bookmarkStart w:id="165" w:name="_Toc16365"/>
      <w:bookmarkStart w:id="166" w:name="_Toc73888744"/>
      <w:r>
        <w:rPr>
          <w:rFonts w:hint="default" w:ascii="Times New Roman" w:hAnsi="Times New Roman" w:eastAsia="黑体" w:cs="Times New Roman"/>
          <w:b w:val="0"/>
          <w:bCs w:val="0"/>
        </w:rPr>
        <w:t>第二节  提升粮食和物资储备数字化发展水平</w:t>
      </w:r>
      <w:bookmarkEnd w:id="162"/>
      <w:bookmarkEnd w:id="163"/>
      <w:bookmarkEnd w:id="164"/>
      <w:bookmarkEnd w:id="165"/>
      <w:bookmarkEnd w:id="166"/>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完善以数据为核心的基础设施体系。</w:t>
      </w:r>
      <w:r>
        <w:rPr>
          <w:rFonts w:hint="default" w:ascii="Times New Roman" w:hAnsi="Times New Roman" w:eastAsia="仿宋_GB2312" w:cs="Times New Roman"/>
          <w:sz w:val="32"/>
          <w:szCs w:val="32"/>
        </w:rPr>
        <w:t>统筹现有网络资源，构建统一的互联网、电子政务内外网网络，健全粮食和物资储备网络体系，实现跨网络数据流转。健全市、县级数据安全中心，与区级构建上下互联、灵活扩展、安全可靠的云网环境。加快粮食和物资储备各类数据的交换与汇集，推动数据资源共享。</w:t>
      </w:r>
      <w:r>
        <w:rPr>
          <w:rFonts w:hint="default" w:ascii="Times New Roman" w:hAnsi="Times New Roman" w:eastAsia="楷体_GB2312" w:cs="Times New Roman"/>
          <w:b/>
          <w:sz w:val="32"/>
          <w:szCs w:val="32"/>
        </w:rPr>
        <w:t>提升储备和监管信息化支撑水平。</w:t>
      </w:r>
      <w:r>
        <w:rPr>
          <w:rFonts w:hint="default" w:ascii="Times New Roman" w:hAnsi="Times New Roman" w:eastAsia="仿宋_GB2312" w:cs="Times New Roman"/>
          <w:sz w:val="32"/>
          <w:szCs w:val="32"/>
        </w:rPr>
        <w:t>构建市一级储备动态监管平台，推动地方储备粮信息化管理全覆盖，健全在线监管和储备布局地理信息系统，实现储备动态监管。</w:t>
      </w:r>
      <w:r>
        <w:rPr>
          <w:rFonts w:hint="default" w:ascii="Times New Roman" w:hAnsi="Times New Roman" w:eastAsia="楷体_GB2312" w:cs="Times New Roman"/>
          <w:b/>
          <w:sz w:val="32"/>
          <w:szCs w:val="32"/>
        </w:rPr>
        <w:t>提升应急指挥预警预测信息化水平。</w:t>
      </w:r>
      <w:r>
        <w:rPr>
          <w:rFonts w:hint="default" w:ascii="Times New Roman" w:hAnsi="Times New Roman" w:eastAsia="仿宋_GB2312" w:cs="Times New Roman"/>
          <w:sz w:val="32"/>
          <w:szCs w:val="32"/>
        </w:rPr>
        <w:t>整合系统资源，搭建共享协同的市级应急指挥调度平台，实现平急结合、事前预警与事中指挥相统一、横向协同与纵向联动相结合。拓宽安全风险数据采集渠道，构建市级安全风险监测预警平台，加强团队能力建设，提升应对安全风险的能力。</w:t>
      </w:r>
      <w:r>
        <w:rPr>
          <w:rFonts w:hint="default" w:ascii="Times New Roman" w:hAnsi="Times New Roman" w:eastAsia="楷体_GB2312" w:cs="Times New Roman"/>
          <w:b/>
          <w:sz w:val="32"/>
          <w:szCs w:val="32"/>
        </w:rPr>
        <w:t>加快粮食产业数字化转型。</w:t>
      </w:r>
      <w:r>
        <w:rPr>
          <w:rFonts w:hint="default" w:ascii="Times New Roman" w:hAnsi="Times New Roman" w:eastAsia="仿宋_GB2312" w:cs="Times New Roman"/>
          <w:sz w:val="32"/>
          <w:szCs w:val="32"/>
        </w:rPr>
        <w:t>以推动粮食产业互联网平台建设、区块链应用等为重点，加快推进粮食产业数字化转型，提升粮食产业核心竞争力。</w:t>
      </w:r>
    </w:p>
    <w:p>
      <w:pPr>
        <w:overflowPunct w:val="0"/>
        <w:spacing w:line="560" w:lineRule="exact"/>
        <w:jc w:val="left"/>
        <w:rPr>
          <w:rFonts w:hint="default" w:ascii="Times New Roman" w:hAnsi="Times New Roman" w:eastAsia="仿宋_GB2312" w:cs="Times New Roman"/>
          <w:bCs/>
          <w:sz w:val="32"/>
          <w:szCs w:val="32"/>
        </w:rPr>
      </w:pPr>
    </w:p>
    <w:tbl>
      <w:tblPr>
        <w:tblStyle w:val="1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vAlign w:val="center"/>
          </w:tcPr>
          <w:p>
            <w:pPr>
              <w:spacing w:line="560" w:lineRule="exact"/>
              <w:jc w:val="center"/>
              <w:rPr>
                <w:rFonts w:hint="default" w:ascii="Times New Roman" w:hAnsi="Times New Roman" w:eastAsia="仿宋" w:cs="Times New Roman"/>
                <w:sz w:val="32"/>
                <w:szCs w:val="32"/>
                <w:lang w:eastAsia="zh-CN"/>
              </w:rPr>
            </w:pPr>
            <w:bookmarkStart w:id="167" w:name="_Toc32129"/>
            <w:bookmarkStart w:id="168" w:name="_Toc12774"/>
            <w:bookmarkStart w:id="169" w:name="_Toc30845"/>
            <w:bookmarkStart w:id="170" w:name="_Toc12865"/>
            <w:bookmarkStart w:id="171" w:name="_Toc73888746"/>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eastAsia="zh-CN"/>
              </w:rPr>
              <w:t>科技和人才支撑提升工程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071" w:type="dxa"/>
            <w:vAlign w:val="center"/>
          </w:tcPr>
          <w:p>
            <w:pPr>
              <w:overflowPunct w:val="0"/>
              <w:spacing w:line="560" w:lineRule="exact"/>
              <w:ind w:firstLine="643" w:firstLineChars="200"/>
              <w:rPr>
                <w:rFonts w:hint="default" w:ascii="Times New Roman" w:hAnsi="Times New Roman" w:eastAsia="仿宋_GB2312" w:cs="Times New Roman"/>
                <w:b/>
                <w:sz w:val="32"/>
                <w:szCs w:val="32"/>
                <w:lang w:eastAsia="zh-CN"/>
              </w:rPr>
            </w:pPr>
            <w:r>
              <w:rPr>
                <w:rFonts w:hint="default" w:ascii="Times New Roman" w:hAnsi="Times New Roman" w:eastAsia="楷体_GB2312" w:cs="Times New Roman"/>
                <w:b/>
                <w:sz w:val="32"/>
                <w:szCs w:val="32"/>
                <w:lang w:eastAsia="zh-CN"/>
              </w:rPr>
              <w:t>一、大力</w:t>
            </w:r>
            <w:r>
              <w:rPr>
                <w:rFonts w:hint="default" w:ascii="Times New Roman" w:hAnsi="Times New Roman" w:eastAsia="楷体_GB2312" w:cs="Times New Roman"/>
                <w:b/>
                <w:sz w:val="32"/>
                <w:szCs w:val="32"/>
              </w:rPr>
              <w:t>发展行业技能培训</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实施“人才兴粮兴储”</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探索仓储管理岗位改革，鼓励有条件的企业开展“岗位练兵”“技能竞赛”活动，加快培养新时代粮食物资“粮工巧匠”</w:t>
            </w:r>
            <w:r>
              <w:rPr>
                <w:rFonts w:hint="default" w:ascii="Times New Roman" w:hAnsi="Times New Roman" w:eastAsia="仿宋_GB2312" w:cs="Times New Roman"/>
                <w:sz w:val="32"/>
                <w:szCs w:val="32"/>
                <w:lang w:eastAsia="zh-CN"/>
              </w:rPr>
              <w:t>。</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推动仓储技术升级。</w:t>
            </w:r>
            <w:r>
              <w:rPr>
                <w:rFonts w:hint="default" w:ascii="Times New Roman" w:hAnsi="Times New Roman" w:eastAsia="仿宋_GB2312" w:cs="Times New Roman"/>
                <w:sz w:val="32"/>
                <w:szCs w:val="32"/>
              </w:rPr>
              <w:t>提高绿色储粮技术应用比例，推动粮食仓储管理向保质保鲜、“常储常新”迈进。</w:t>
            </w:r>
          </w:p>
          <w:p>
            <w:pPr>
              <w:overflowPunct w:val="0"/>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加快粮食产业数字化转型。</w:t>
            </w:r>
            <w:r>
              <w:rPr>
                <w:rFonts w:hint="default" w:ascii="Times New Roman" w:hAnsi="Times New Roman" w:eastAsia="仿宋_GB2312" w:cs="Times New Roman"/>
                <w:sz w:val="32"/>
                <w:szCs w:val="32"/>
              </w:rPr>
              <w:t>以推动粮食产业互联网平台建设、区块链应用等为重点，加快推进粮食产业数字化转型，提升粮食产业核心竞争力。</w:t>
            </w:r>
          </w:p>
        </w:tc>
      </w:tr>
    </w:tbl>
    <w:p>
      <w:pPr>
        <w:pStyle w:val="2"/>
        <w:overflowPunct w:val="0"/>
        <w:jc w:val="center"/>
        <w:rPr>
          <w:rFonts w:hint="default" w:ascii="Times New Roman" w:hAnsi="Times New Roman" w:eastAsia="方正小标宋简体" w:cs="Times New Roman"/>
          <w:b w:val="0"/>
          <w:bCs w:val="0"/>
        </w:rPr>
        <w:sectPr>
          <w:pgSz w:w="11906" w:h="16838"/>
          <w:pgMar w:top="1587" w:right="1474" w:bottom="1474" w:left="1587" w:header="851" w:footer="992" w:gutter="0"/>
          <w:pgNumType w:fmt="numberInDash"/>
          <w:cols w:space="425" w:num="1"/>
          <w:docGrid w:type="lines" w:linePitch="312" w:charSpace="0"/>
        </w:sectPr>
      </w:pPr>
    </w:p>
    <w:p>
      <w:pPr>
        <w:pStyle w:val="2"/>
        <w:overflowPunct w:val="0"/>
        <w:spacing w:before="156" w:beforeLines="50" w:after="156"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第十章  保障措施</w:t>
      </w:r>
      <w:bookmarkEnd w:id="167"/>
      <w:bookmarkEnd w:id="168"/>
      <w:bookmarkEnd w:id="169"/>
      <w:bookmarkEnd w:id="170"/>
      <w:bookmarkEnd w:id="171"/>
    </w:p>
    <w:p>
      <w:pPr>
        <w:pStyle w:val="3"/>
        <w:overflowPunct w:val="0"/>
        <w:spacing w:before="200" w:after="200" w:line="560" w:lineRule="exact"/>
        <w:jc w:val="center"/>
        <w:rPr>
          <w:rFonts w:hint="default" w:ascii="Times New Roman" w:hAnsi="Times New Roman" w:eastAsia="黑体" w:cs="Times New Roman"/>
          <w:b w:val="0"/>
          <w:bCs w:val="0"/>
        </w:rPr>
      </w:pPr>
      <w:bookmarkStart w:id="172" w:name="_Toc3183"/>
      <w:bookmarkStart w:id="173" w:name="_Toc12442"/>
      <w:bookmarkStart w:id="174" w:name="_Toc18462"/>
      <w:bookmarkStart w:id="175" w:name="_Toc17948"/>
      <w:bookmarkStart w:id="176" w:name="_Toc73888747"/>
    </w:p>
    <w:p>
      <w:pPr>
        <w:pStyle w:val="3"/>
        <w:overflowPunct w:val="0"/>
        <w:spacing w:before="200"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第一节 加强组织领导</w:t>
      </w:r>
      <w:bookmarkEnd w:id="172"/>
      <w:bookmarkEnd w:id="173"/>
      <w:bookmarkEnd w:id="174"/>
      <w:bookmarkEnd w:id="175"/>
      <w:bookmarkEnd w:id="176"/>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把学习贯彻习近平新时代中国特色社会主义思想放在首要位置，尤其是习近平总书记对广西工作的重要指示和关于粮食安全、储备安全重要批示指示讲话精神。切实加强党对粮食和物资储备工作的全面领导，扛稳粮食安全的政治责任。充分发挥粮食安全责任制考核的指挥棒功能，引导各级政府切实扛稳粮食和物资储备行业的重任，党政同责，健全责任体系，加强统筹协调，明确职责分工。持以考促建原则，促进粮食产业健康发展，落实主体责任。</w:t>
      </w:r>
    </w:p>
    <w:p>
      <w:pPr>
        <w:pStyle w:val="3"/>
        <w:overflowPunct w:val="0"/>
        <w:spacing w:before="200" w:after="200" w:line="560" w:lineRule="exact"/>
        <w:jc w:val="center"/>
        <w:rPr>
          <w:rFonts w:hint="default" w:ascii="Times New Roman" w:hAnsi="Times New Roman" w:eastAsia="黑体" w:cs="Times New Roman"/>
          <w:b w:val="0"/>
          <w:bCs w:val="0"/>
        </w:rPr>
      </w:pPr>
      <w:bookmarkStart w:id="177" w:name="_Toc73888748"/>
      <w:bookmarkStart w:id="178" w:name="_Toc26234"/>
      <w:bookmarkStart w:id="179" w:name="_Toc19197"/>
      <w:bookmarkStart w:id="180" w:name="_Toc30471"/>
      <w:bookmarkStart w:id="181" w:name="_Toc9020"/>
      <w:r>
        <w:rPr>
          <w:rFonts w:hint="default" w:ascii="Times New Roman" w:hAnsi="Times New Roman" w:eastAsia="黑体" w:cs="Times New Roman"/>
          <w:b w:val="0"/>
          <w:bCs w:val="0"/>
        </w:rPr>
        <w:t>第二节 加大政策支持</w:t>
      </w:r>
      <w:bookmarkEnd w:id="177"/>
      <w:bookmarkEnd w:id="178"/>
      <w:bookmarkEnd w:id="179"/>
      <w:bookmarkEnd w:id="180"/>
      <w:bookmarkEnd w:id="181"/>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根据自治区工作要求落实市与县（区）激励相容的财政机制，</w:t>
      </w:r>
      <w:r>
        <w:rPr>
          <w:rFonts w:hint="default" w:ascii="Times New Roman" w:hAnsi="Times New Roman" w:eastAsia="仿宋_GB2312" w:cs="Times New Roman"/>
          <w:sz w:val="32"/>
          <w:szCs w:val="32"/>
          <w:lang w:val="en-US" w:eastAsia="zh-CN"/>
        </w:rPr>
        <w:t>鼓励和支持各地财政加大对地方粮食和物资储备行业发展的投入</w:t>
      </w:r>
      <w:r>
        <w:rPr>
          <w:rFonts w:hint="default" w:ascii="Times New Roman" w:hAnsi="Times New Roman" w:eastAsia="仿宋_GB2312" w:cs="Times New Roman"/>
          <w:sz w:val="32"/>
          <w:szCs w:val="32"/>
        </w:rPr>
        <w:t>。完善储备轮换价差补贴机制，建立储备费用补贴与经济社会发展相适应的动态调节机制。争取自治区扩大粮食风险基金规模。争取自然资源部门对粮食和物资储备行业发展重点项目用地予以支持。争取将粮食质量检验监测工作经费纳入同级财政预算，保障粮食质量安全机制长期有效运行。</w:t>
      </w:r>
      <w:bookmarkStart w:id="182" w:name="_Toc1828"/>
      <w:bookmarkStart w:id="183" w:name="_Toc73888749"/>
      <w:bookmarkStart w:id="184" w:name="_Toc5018"/>
      <w:bookmarkStart w:id="185" w:name="_Toc30583"/>
      <w:bookmarkStart w:id="186" w:name="_Toc11181"/>
    </w:p>
    <w:p>
      <w:pPr>
        <w:pStyle w:val="3"/>
        <w:overflowPunct w:val="0"/>
        <w:spacing w:before="200"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第三节 拓展融资渠道</w:t>
      </w:r>
      <w:bookmarkEnd w:id="182"/>
      <w:bookmarkEnd w:id="183"/>
      <w:bookmarkEnd w:id="184"/>
      <w:bookmarkEnd w:id="185"/>
      <w:bookmarkEnd w:id="186"/>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争取国家支持一点、自治区安排一点、地方筹措一点，增加、整合粮食和物资储备行业发展的建设资金。充分发挥财政资金的杠杆作用，引导社会资金投向粮食和物资储备行业。争取国家政策性银行加大对物资储备支持力度、拓宽支持领域，将各类储备物资、不同储备方式的企业和单位纳入到政策性贷款支持范围。进一步加强政银合作，优化粮食金融服务审批程序，与时俱进评估国有粮食企业资产规模，提高对粮食收购企业的授信额度，充分发挥金融机构支持粮食收储和粮食产业发展的信贷作用。</w:t>
      </w:r>
    </w:p>
    <w:p>
      <w:pPr>
        <w:pStyle w:val="3"/>
        <w:overflowPunct w:val="0"/>
        <w:spacing w:before="200" w:after="200" w:line="560" w:lineRule="exact"/>
        <w:jc w:val="center"/>
        <w:rPr>
          <w:rFonts w:hint="default" w:ascii="Times New Roman" w:hAnsi="Times New Roman" w:eastAsia="黑体" w:cs="Times New Roman"/>
          <w:b w:val="0"/>
          <w:bCs w:val="0"/>
        </w:rPr>
      </w:pPr>
      <w:bookmarkStart w:id="187" w:name="_Toc22244"/>
      <w:bookmarkStart w:id="188" w:name="_Toc16224"/>
      <w:bookmarkStart w:id="189" w:name="_Toc73888750"/>
      <w:bookmarkStart w:id="190" w:name="_Toc22880"/>
      <w:bookmarkStart w:id="191" w:name="_Toc1908"/>
      <w:r>
        <w:rPr>
          <w:rFonts w:hint="default" w:ascii="Times New Roman" w:hAnsi="Times New Roman" w:eastAsia="黑体" w:cs="Times New Roman"/>
          <w:b w:val="0"/>
          <w:bCs w:val="0"/>
        </w:rPr>
        <w:t>第四节 强化部门协作</w:t>
      </w:r>
      <w:bookmarkEnd w:id="187"/>
      <w:bookmarkEnd w:id="188"/>
      <w:bookmarkEnd w:id="189"/>
      <w:bookmarkEnd w:id="190"/>
      <w:bookmarkEnd w:id="191"/>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粮食安全行政首长责任制为基础，加强市发展和改革委员会、农业农村局、市场监管局等部门的沟通协作，建立分工负责、密切合作、合力推进的工作机制。深入实施“优质粮食工程”，深化与粮油龙头企业的合作，推进优质稻种植基地建设，为全市粮食流通事业高质量发展注入强大创新驱动力。</w:t>
      </w:r>
    </w:p>
    <w:p>
      <w:pPr>
        <w:pStyle w:val="3"/>
        <w:overflowPunct w:val="0"/>
        <w:spacing w:before="200" w:after="200" w:line="560" w:lineRule="exact"/>
        <w:jc w:val="center"/>
        <w:rPr>
          <w:rFonts w:hint="default" w:ascii="Times New Roman" w:hAnsi="Times New Roman" w:eastAsia="黑体" w:cs="Times New Roman"/>
          <w:b w:val="0"/>
          <w:bCs w:val="0"/>
        </w:rPr>
      </w:pPr>
      <w:bookmarkStart w:id="192" w:name="_Toc73888751"/>
      <w:bookmarkStart w:id="193" w:name="_Toc17084"/>
      <w:bookmarkStart w:id="194" w:name="_Toc32239"/>
      <w:bookmarkStart w:id="195" w:name="_Toc1905"/>
      <w:bookmarkStart w:id="196" w:name="_Toc21390"/>
      <w:r>
        <w:rPr>
          <w:rFonts w:hint="default" w:ascii="Times New Roman" w:hAnsi="Times New Roman" w:eastAsia="黑体" w:cs="Times New Roman"/>
          <w:b w:val="0"/>
          <w:bCs w:val="0"/>
        </w:rPr>
        <w:t>第五节 严格责任考核</w:t>
      </w:r>
      <w:bookmarkEnd w:id="192"/>
      <w:bookmarkEnd w:id="193"/>
      <w:bookmarkEnd w:id="194"/>
      <w:bookmarkEnd w:id="195"/>
      <w:bookmarkEnd w:id="196"/>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粮食安全责任制考核，实行分类考核，进一步明确和强化保障本地区粮食安全的主体责任，建立完善分级负责的粮食安全责任体系。把年度考核和日常监督考核结合起来，确保关键节点任务完成。强化考核结果运用，对工作推进有力、发展成效明显的予以表彰。</w:t>
      </w:r>
    </w:p>
    <w:sectPr>
      <w:pgSz w:w="11906" w:h="16838"/>
      <w:pgMar w:top="1587"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hint="eastAsia" w:ascii="宋体" w:hAnsi="宋体" w:eastAsia="宋体" w:cs="宋体"/>
                              <w:sz w:val="28"/>
                              <w:szCs w:val="28"/>
                            </w:rPr>
                            <w:id w:val="-27883287"/>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29 -</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27883287"/>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29 -</w:t>
                        </w:r>
                        <w:r>
                          <w:rPr>
                            <w:rFonts w:hint="eastAsia" w:ascii="宋体" w:hAnsi="宋体" w:eastAsia="宋体" w:cs="宋体"/>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hint="eastAsia" w:ascii="宋体" w:hAnsi="宋体" w:eastAsia="宋体" w:cs="宋体"/>
                              <w:sz w:val="28"/>
                              <w:szCs w:val="28"/>
                            </w:rPr>
                            <w:id w:val="-215052250"/>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40 -</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215052250"/>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40 -</w:t>
                        </w:r>
                        <w:r>
                          <w:rPr>
                            <w:rFonts w:hint="eastAsia" w:ascii="宋体" w:hAnsi="宋体" w:eastAsia="宋体" w:cs="宋体"/>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WY0YzhjZGI2Mjc0OTgxMWI2NTA2YmU1OTc4NjIifQ=="/>
  </w:docVars>
  <w:rsids>
    <w:rsidRoot w:val="00797EB2"/>
    <w:rsid w:val="00001419"/>
    <w:rsid w:val="00001585"/>
    <w:rsid w:val="0000190A"/>
    <w:rsid w:val="0000261E"/>
    <w:rsid w:val="000027B9"/>
    <w:rsid w:val="00003389"/>
    <w:rsid w:val="00004695"/>
    <w:rsid w:val="00006EE9"/>
    <w:rsid w:val="00007060"/>
    <w:rsid w:val="00007F51"/>
    <w:rsid w:val="00014226"/>
    <w:rsid w:val="00015481"/>
    <w:rsid w:val="0001551A"/>
    <w:rsid w:val="000170BC"/>
    <w:rsid w:val="00025228"/>
    <w:rsid w:val="00025D39"/>
    <w:rsid w:val="000302C1"/>
    <w:rsid w:val="00030954"/>
    <w:rsid w:val="000314FD"/>
    <w:rsid w:val="00031E5D"/>
    <w:rsid w:val="000322F7"/>
    <w:rsid w:val="000333C2"/>
    <w:rsid w:val="0003665C"/>
    <w:rsid w:val="000405DB"/>
    <w:rsid w:val="00041DC6"/>
    <w:rsid w:val="000427B0"/>
    <w:rsid w:val="00044264"/>
    <w:rsid w:val="00046319"/>
    <w:rsid w:val="00046934"/>
    <w:rsid w:val="00046FCC"/>
    <w:rsid w:val="00050193"/>
    <w:rsid w:val="000517EF"/>
    <w:rsid w:val="0005743E"/>
    <w:rsid w:val="00061552"/>
    <w:rsid w:val="000626AF"/>
    <w:rsid w:val="00063F08"/>
    <w:rsid w:val="00065B2B"/>
    <w:rsid w:val="000711EE"/>
    <w:rsid w:val="000726F8"/>
    <w:rsid w:val="00074424"/>
    <w:rsid w:val="00074D94"/>
    <w:rsid w:val="00081727"/>
    <w:rsid w:val="00082D2C"/>
    <w:rsid w:val="00082DC9"/>
    <w:rsid w:val="000833D3"/>
    <w:rsid w:val="00085F7D"/>
    <w:rsid w:val="00087C58"/>
    <w:rsid w:val="00090269"/>
    <w:rsid w:val="000906DD"/>
    <w:rsid w:val="00091907"/>
    <w:rsid w:val="00092723"/>
    <w:rsid w:val="0009390F"/>
    <w:rsid w:val="00095F20"/>
    <w:rsid w:val="000A00B8"/>
    <w:rsid w:val="000A1AA0"/>
    <w:rsid w:val="000A2053"/>
    <w:rsid w:val="000A2D2B"/>
    <w:rsid w:val="000A4206"/>
    <w:rsid w:val="000A6835"/>
    <w:rsid w:val="000B261B"/>
    <w:rsid w:val="000B2A79"/>
    <w:rsid w:val="000B476F"/>
    <w:rsid w:val="000B482C"/>
    <w:rsid w:val="000B63A9"/>
    <w:rsid w:val="000B6B28"/>
    <w:rsid w:val="000C157F"/>
    <w:rsid w:val="000C3C3F"/>
    <w:rsid w:val="000C46B7"/>
    <w:rsid w:val="000C4AD1"/>
    <w:rsid w:val="000C4F75"/>
    <w:rsid w:val="000C7B2A"/>
    <w:rsid w:val="000C7B4A"/>
    <w:rsid w:val="000D05AE"/>
    <w:rsid w:val="000D0944"/>
    <w:rsid w:val="000D0983"/>
    <w:rsid w:val="000D1D18"/>
    <w:rsid w:val="000D342D"/>
    <w:rsid w:val="000D3929"/>
    <w:rsid w:val="000D47BF"/>
    <w:rsid w:val="000D5D79"/>
    <w:rsid w:val="000D7970"/>
    <w:rsid w:val="000D7D1D"/>
    <w:rsid w:val="000E1164"/>
    <w:rsid w:val="000E16C8"/>
    <w:rsid w:val="000E1F63"/>
    <w:rsid w:val="000E41F6"/>
    <w:rsid w:val="000E4FFD"/>
    <w:rsid w:val="000E7DDA"/>
    <w:rsid w:val="000E7E69"/>
    <w:rsid w:val="000F0478"/>
    <w:rsid w:val="000F0AA1"/>
    <w:rsid w:val="000F4A7C"/>
    <w:rsid w:val="000F5A06"/>
    <w:rsid w:val="000F7531"/>
    <w:rsid w:val="001012B6"/>
    <w:rsid w:val="001156E6"/>
    <w:rsid w:val="00116047"/>
    <w:rsid w:val="00116C3C"/>
    <w:rsid w:val="00120109"/>
    <w:rsid w:val="001207F3"/>
    <w:rsid w:val="00120A97"/>
    <w:rsid w:val="00121761"/>
    <w:rsid w:val="001228DD"/>
    <w:rsid w:val="00124D74"/>
    <w:rsid w:val="001253AF"/>
    <w:rsid w:val="0012575A"/>
    <w:rsid w:val="001279CD"/>
    <w:rsid w:val="00131567"/>
    <w:rsid w:val="001352D7"/>
    <w:rsid w:val="00137EC5"/>
    <w:rsid w:val="00142A94"/>
    <w:rsid w:val="00145149"/>
    <w:rsid w:val="00145279"/>
    <w:rsid w:val="00146323"/>
    <w:rsid w:val="00147D0D"/>
    <w:rsid w:val="00147EE2"/>
    <w:rsid w:val="001514B5"/>
    <w:rsid w:val="00154885"/>
    <w:rsid w:val="0016041D"/>
    <w:rsid w:val="00160DD5"/>
    <w:rsid w:val="00161B8A"/>
    <w:rsid w:val="0016259E"/>
    <w:rsid w:val="00164860"/>
    <w:rsid w:val="00166B2A"/>
    <w:rsid w:val="00166D1C"/>
    <w:rsid w:val="00167B75"/>
    <w:rsid w:val="001712B0"/>
    <w:rsid w:val="001724D7"/>
    <w:rsid w:val="001729D4"/>
    <w:rsid w:val="00172B3B"/>
    <w:rsid w:val="00177B44"/>
    <w:rsid w:val="001805C4"/>
    <w:rsid w:val="00181140"/>
    <w:rsid w:val="00181A14"/>
    <w:rsid w:val="00182DDF"/>
    <w:rsid w:val="0018392E"/>
    <w:rsid w:val="00183D30"/>
    <w:rsid w:val="0018427B"/>
    <w:rsid w:val="00184680"/>
    <w:rsid w:val="00185673"/>
    <w:rsid w:val="0018675D"/>
    <w:rsid w:val="001874AC"/>
    <w:rsid w:val="0019022B"/>
    <w:rsid w:val="0019105A"/>
    <w:rsid w:val="00192730"/>
    <w:rsid w:val="00192757"/>
    <w:rsid w:val="00192D2F"/>
    <w:rsid w:val="00197BA4"/>
    <w:rsid w:val="001A1DC8"/>
    <w:rsid w:val="001A24C8"/>
    <w:rsid w:val="001A34C6"/>
    <w:rsid w:val="001A48BE"/>
    <w:rsid w:val="001B0D75"/>
    <w:rsid w:val="001B1FFF"/>
    <w:rsid w:val="001B4392"/>
    <w:rsid w:val="001B507D"/>
    <w:rsid w:val="001B5B60"/>
    <w:rsid w:val="001B6BAA"/>
    <w:rsid w:val="001C28ED"/>
    <w:rsid w:val="001D046C"/>
    <w:rsid w:val="001D0B70"/>
    <w:rsid w:val="001D242C"/>
    <w:rsid w:val="001D265E"/>
    <w:rsid w:val="001D2A2E"/>
    <w:rsid w:val="001D2E28"/>
    <w:rsid w:val="001D32C4"/>
    <w:rsid w:val="001D3D4F"/>
    <w:rsid w:val="001D506F"/>
    <w:rsid w:val="001E020F"/>
    <w:rsid w:val="001E0870"/>
    <w:rsid w:val="001E0A99"/>
    <w:rsid w:val="001E17A9"/>
    <w:rsid w:val="001E1D2C"/>
    <w:rsid w:val="001E1DCA"/>
    <w:rsid w:val="001E31CC"/>
    <w:rsid w:val="001E5536"/>
    <w:rsid w:val="001E6650"/>
    <w:rsid w:val="001E6C85"/>
    <w:rsid w:val="001F3A8F"/>
    <w:rsid w:val="001F4711"/>
    <w:rsid w:val="001F5400"/>
    <w:rsid w:val="00207710"/>
    <w:rsid w:val="00211388"/>
    <w:rsid w:val="00211C31"/>
    <w:rsid w:val="0021264C"/>
    <w:rsid w:val="002141B7"/>
    <w:rsid w:val="00214926"/>
    <w:rsid w:val="0021701B"/>
    <w:rsid w:val="00217143"/>
    <w:rsid w:val="002212E7"/>
    <w:rsid w:val="0022277F"/>
    <w:rsid w:val="0022308B"/>
    <w:rsid w:val="0022489C"/>
    <w:rsid w:val="002250B9"/>
    <w:rsid w:val="0022688F"/>
    <w:rsid w:val="00227434"/>
    <w:rsid w:val="00227A04"/>
    <w:rsid w:val="002319A3"/>
    <w:rsid w:val="00233A25"/>
    <w:rsid w:val="00233EFA"/>
    <w:rsid w:val="002345DF"/>
    <w:rsid w:val="00234CEA"/>
    <w:rsid w:val="0023503B"/>
    <w:rsid w:val="00235A10"/>
    <w:rsid w:val="00236636"/>
    <w:rsid w:val="0024033B"/>
    <w:rsid w:val="0024159E"/>
    <w:rsid w:val="00241B99"/>
    <w:rsid w:val="00242871"/>
    <w:rsid w:val="00242D53"/>
    <w:rsid w:val="002436C8"/>
    <w:rsid w:val="00245230"/>
    <w:rsid w:val="00246430"/>
    <w:rsid w:val="002465E5"/>
    <w:rsid w:val="002500B7"/>
    <w:rsid w:val="00250651"/>
    <w:rsid w:val="002511B3"/>
    <w:rsid w:val="00251BB0"/>
    <w:rsid w:val="0025214A"/>
    <w:rsid w:val="00252224"/>
    <w:rsid w:val="002547E8"/>
    <w:rsid w:val="00260367"/>
    <w:rsid w:val="00261123"/>
    <w:rsid w:val="0026214C"/>
    <w:rsid w:val="00262862"/>
    <w:rsid w:val="00264C6C"/>
    <w:rsid w:val="00264F20"/>
    <w:rsid w:val="0026594C"/>
    <w:rsid w:val="00266905"/>
    <w:rsid w:val="00275873"/>
    <w:rsid w:val="00277F8E"/>
    <w:rsid w:val="002869A0"/>
    <w:rsid w:val="00287FCF"/>
    <w:rsid w:val="00291A4A"/>
    <w:rsid w:val="0029596E"/>
    <w:rsid w:val="00297A30"/>
    <w:rsid w:val="002A0A13"/>
    <w:rsid w:val="002A2E96"/>
    <w:rsid w:val="002A30C1"/>
    <w:rsid w:val="002A4B72"/>
    <w:rsid w:val="002A5B64"/>
    <w:rsid w:val="002A7357"/>
    <w:rsid w:val="002B261B"/>
    <w:rsid w:val="002B319D"/>
    <w:rsid w:val="002B33AF"/>
    <w:rsid w:val="002B5246"/>
    <w:rsid w:val="002B65A5"/>
    <w:rsid w:val="002C07C1"/>
    <w:rsid w:val="002C0C74"/>
    <w:rsid w:val="002C23F2"/>
    <w:rsid w:val="002C396B"/>
    <w:rsid w:val="002C4374"/>
    <w:rsid w:val="002C4C87"/>
    <w:rsid w:val="002C5A36"/>
    <w:rsid w:val="002C64DF"/>
    <w:rsid w:val="002C7C34"/>
    <w:rsid w:val="002D0542"/>
    <w:rsid w:val="002D0578"/>
    <w:rsid w:val="002D05ED"/>
    <w:rsid w:val="002D0AF7"/>
    <w:rsid w:val="002D1A1D"/>
    <w:rsid w:val="002D31E8"/>
    <w:rsid w:val="002D345E"/>
    <w:rsid w:val="002D54A9"/>
    <w:rsid w:val="002E1B56"/>
    <w:rsid w:val="002E201B"/>
    <w:rsid w:val="002E3887"/>
    <w:rsid w:val="002E429B"/>
    <w:rsid w:val="002E58B4"/>
    <w:rsid w:val="002E5DA4"/>
    <w:rsid w:val="002E6A51"/>
    <w:rsid w:val="002E7B78"/>
    <w:rsid w:val="002F0FC7"/>
    <w:rsid w:val="002F17F9"/>
    <w:rsid w:val="002F1C77"/>
    <w:rsid w:val="002F2B4C"/>
    <w:rsid w:val="002F34C2"/>
    <w:rsid w:val="002F75C8"/>
    <w:rsid w:val="0030059C"/>
    <w:rsid w:val="003018CB"/>
    <w:rsid w:val="00303C85"/>
    <w:rsid w:val="003105CB"/>
    <w:rsid w:val="003129F1"/>
    <w:rsid w:val="00312F12"/>
    <w:rsid w:val="00313D34"/>
    <w:rsid w:val="00316BE1"/>
    <w:rsid w:val="0031787A"/>
    <w:rsid w:val="0032208B"/>
    <w:rsid w:val="00323B2B"/>
    <w:rsid w:val="00325B69"/>
    <w:rsid w:val="00330364"/>
    <w:rsid w:val="00330E89"/>
    <w:rsid w:val="00331C14"/>
    <w:rsid w:val="003339DB"/>
    <w:rsid w:val="00334B66"/>
    <w:rsid w:val="00336C41"/>
    <w:rsid w:val="00341DA9"/>
    <w:rsid w:val="00343412"/>
    <w:rsid w:val="00344834"/>
    <w:rsid w:val="003452E8"/>
    <w:rsid w:val="00345DB3"/>
    <w:rsid w:val="0035019C"/>
    <w:rsid w:val="00352CB7"/>
    <w:rsid w:val="003550F8"/>
    <w:rsid w:val="003604A2"/>
    <w:rsid w:val="003604DF"/>
    <w:rsid w:val="00360749"/>
    <w:rsid w:val="003609DB"/>
    <w:rsid w:val="003609EE"/>
    <w:rsid w:val="003627B2"/>
    <w:rsid w:val="003637A2"/>
    <w:rsid w:val="00371F4D"/>
    <w:rsid w:val="00373231"/>
    <w:rsid w:val="00374EC9"/>
    <w:rsid w:val="003775C0"/>
    <w:rsid w:val="00380A92"/>
    <w:rsid w:val="00381627"/>
    <w:rsid w:val="003825E1"/>
    <w:rsid w:val="00382E45"/>
    <w:rsid w:val="00385F5C"/>
    <w:rsid w:val="003879EB"/>
    <w:rsid w:val="00387E31"/>
    <w:rsid w:val="003905D8"/>
    <w:rsid w:val="00393E03"/>
    <w:rsid w:val="00393E16"/>
    <w:rsid w:val="00393F97"/>
    <w:rsid w:val="003940DB"/>
    <w:rsid w:val="003965B9"/>
    <w:rsid w:val="00396B7C"/>
    <w:rsid w:val="003A09C9"/>
    <w:rsid w:val="003A2198"/>
    <w:rsid w:val="003A3633"/>
    <w:rsid w:val="003A3D5D"/>
    <w:rsid w:val="003A3FC0"/>
    <w:rsid w:val="003A7166"/>
    <w:rsid w:val="003A7E5E"/>
    <w:rsid w:val="003B1EFD"/>
    <w:rsid w:val="003B2522"/>
    <w:rsid w:val="003B2B98"/>
    <w:rsid w:val="003B38A6"/>
    <w:rsid w:val="003B46F9"/>
    <w:rsid w:val="003B52EA"/>
    <w:rsid w:val="003C0ED5"/>
    <w:rsid w:val="003C18D8"/>
    <w:rsid w:val="003C238B"/>
    <w:rsid w:val="003C5EE5"/>
    <w:rsid w:val="003D257D"/>
    <w:rsid w:val="003D330D"/>
    <w:rsid w:val="003D4CF2"/>
    <w:rsid w:val="003D62FC"/>
    <w:rsid w:val="003D670F"/>
    <w:rsid w:val="003D6885"/>
    <w:rsid w:val="003E058C"/>
    <w:rsid w:val="003E0D80"/>
    <w:rsid w:val="003E140B"/>
    <w:rsid w:val="003E2A7C"/>
    <w:rsid w:val="003E601E"/>
    <w:rsid w:val="003E69FE"/>
    <w:rsid w:val="003E759D"/>
    <w:rsid w:val="003F0976"/>
    <w:rsid w:val="003F1642"/>
    <w:rsid w:val="003F25BD"/>
    <w:rsid w:val="003F28EA"/>
    <w:rsid w:val="003F34E4"/>
    <w:rsid w:val="003F36FC"/>
    <w:rsid w:val="003F6229"/>
    <w:rsid w:val="003F74A4"/>
    <w:rsid w:val="003F74BF"/>
    <w:rsid w:val="003F787E"/>
    <w:rsid w:val="00400E6B"/>
    <w:rsid w:val="004029B3"/>
    <w:rsid w:val="00404B70"/>
    <w:rsid w:val="00405095"/>
    <w:rsid w:val="00405B24"/>
    <w:rsid w:val="004066E3"/>
    <w:rsid w:val="00407C2B"/>
    <w:rsid w:val="00407DBE"/>
    <w:rsid w:val="00407ECA"/>
    <w:rsid w:val="00410042"/>
    <w:rsid w:val="004124E5"/>
    <w:rsid w:val="00412D37"/>
    <w:rsid w:val="004141A3"/>
    <w:rsid w:val="0041433A"/>
    <w:rsid w:val="0041622F"/>
    <w:rsid w:val="00416C1B"/>
    <w:rsid w:val="00417174"/>
    <w:rsid w:val="00420CAE"/>
    <w:rsid w:val="004213BD"/>
    <w:rsid w:val="00421731"/>
    <w:rsid w:val="00421959"/>
    <w:rsid w:val="0042323C"/>
    <w:rsid w:val="0042365D"/>
    <w:rsid w:val="004249BD"/>
    <w:rsid w:val="00426E0E"/>
    <w:rsid w:val="00430111"/>
    <w:rsid w:val="00434B6E"/>
    <w:rsid w:val="00440D06"/>
    <w:rsid w:val="00440E37"/>
    <w:rsid w:val="00440EC0"/>
    <w:rsid w:val="00445560"/>
    <w:rsid w:val="00451EE6"/>
    <w:rsid w:val="00452E95"/>
    <w:rsid w:val="00454BAF"/>
    <w:rsid w:val="0045613E"/>
    <w:rsid w:val="00460DCA"/>
    <w:rsid w:val="00461B05"/>
    <w:rsid w:val="004678BC"/>
    <w:rsid w:val="004749EF"/>
    <w:rsid w:val="00477BFB"/>
    <w:rsid w:val="00477C1D"/>
    <w:rsid w:val="00483D85"/>
    <w:rsid w:val="00484E4A"/>
    <w:rsid w:val="0048505A"/>
    <w:rsid w:val="0048505D"/>
    <w:rsid w:val="00485755"/>
    <w:rsid w:val="0048725F"/>
    <w:rsid w:val="004879CE"/>
    <w:rsid w:val="004906A6"/>
    <w:rsid w:val="00496455"/>
    <w:rsid w:val="0049716C"/>
    <w:rsid w:val="00497296"/>
    <w:rsid w:val="0049751F"/>
    <w:rsid w:val="0049778C"/>
    <w:rsid w:val="00497DF8"/>
    <w:rsid w:val="004A2B10"/>
    <w:rsid w:val="004A7D23"/>
    <w:rsid w:val="004B2B2C"/>
    <w:rsid w:val="004B38DF"/>
    <w:rsid w:val="004B42C2"/>
    <w:rsid w:val="004B432D"/>
    <w:rsid w:val="004C1876"/>
    <w:rsid w:val="004C1F0D"/>
    <w:rsid w:val="004C2DF6"/>
    <w:rsid w:val="004D4C57"/>
    <w:rsid w:val="004D75F1"/>
    <w:rsid w:val="004D7A17"/>
    <w:rsid w:val="004E2EB6"/>
    <w:rsid w:val="004E3537"/>
    <w:rsid w:val="004E35AB"/>
    <w:rsid w:val="004E373E"/>
    <w:rsid w:val="004F0B09"/>
    <w:rsid w:val="004F0B99"/>
    <w:rsid w:val="004F43F8"/>
    <w:rsid w:val="005003B1"/>
    <w:rsid w:val="00500763"/>
    <w:rsid w:val="00503CD8"/>
    <w:rsid w:val="0050429E"/>
    <w:rsid w:val="00504892"/>
    <w:rsid w:val="005063B4"/>
    <w:rsid w:val="00507933"/>
    <w:rsid w:val="00515374"/>
    <w:rsid w:val="00517D57"/>
    <w:rsid w:val="00520CBF"/>
    <w:rsid w:val="00524C78"/>
    <w:rsid w:val="005252DB"/>
    <w:rsid w:val="00526A08"/>
    <w:rsid w:val="005278DA"/>
    <w:rsid w:val="005307A3"/>
    <w:rsid w:val="00530860"/>
    <w:rsid w:val="00530E72"/>
    <w:rsid w:val="00531BF3"/>
    <w:rsid w:val="00531E0E"/>
    <w:rsid w:val="00532673"/>
    <w:rsid w:val="00532D7D"/>
    <w:rsid w:val="00534EDB"/>
    <w:rsid w:val="00535D46"/>
    <w:rsid w:val="0053690B"/>
    <w:rsid w:val="005379D7"/>
    <w:rsid w:val="005452F2"/>
    <w:rsid w:val="00545960"/>
    <w:rsid w:val="00546800"/>
    <w:rsid w:val="0055002A"/>
    <w:rsid w:val="00552F7C"/>
    <w:rsid w:val="005537DF"/>
    <w:rsid w:val="00553B69"/>
    <w:rsid w:val="00553D83"/>
    <w:rsid w:val="0056033C"/>
    <w:rsid w:val="0056161A"/>
    <w:rsid w:val="0056167F"/>
    <w:rsid w:val="0056215B"/>
    <w:rsid w:val="00563CAB"/>
    <w:rsid w:val="00566733"/>
    <w:rsid w:val="00566B2A"/>
    <w:rsid w:val="0056745B"/>
    <w:rsid w:val="0057054B"/>
    <w:rsid w:val="00570A5E"/>
    <w:rsid w:val="0057112E"/>
    <w:rsid w:val="005717E5"/>
    <w:rsid w:val="0057250E"/>
    <w:rsid w:val="0057386A"/>
    <w:rsid w:val="005744A4"/>
    <w:rsid w:val="0057775A"/>
    <w:rsid w:val="005778DA"/>
    <w:rsid w:val="00580B67"/>
    <w:rsid w:val="00581F01"/>
    <w:rsid w:val="00582467"/>
    <w:rsid w:val="005875B0"/>
    <w:rsid w:val="0058773C"/>
    <w:rsid w:val="00590A95"/>
    <w:rsid w:val="0059146D"/>
    <w:rsid w:val="00591B0F"/>
    <w:rsid w:val="005921CB"/>
    <w:rsid w:val="00593CA4"/>
    <w:rsid w:val="00594899"/>
    <w:rsid w:val="005968E9"/>
    <w:rsid w:val="00597D9D"/>
    <w:rsid w:val="005A0CBB"/>
    <w:rsid w:val="005A2AAF"/>
    <w:rsid w:val="005A3DE3"/>
    <w:rsid w:val="005A64CD"/>
    <w:rsid w:val="005A7ED1"/>
    <w:rsid w:val="005B02EF"/>
    <w:rsid w:val="005B2139"/>
    <w:rsid w:val="005B4E6D"/>
    <w:rsid w:val="005B6298"/>
    <w:rsid w:val="005B6FAB"/>
    <w:rsid w:val="005B7B43"/>
    <w:rsid w:val="005B7DC1"/>
    <w:rsid w:val="005C3892"/>
    <w:rsid w:val="005C5DD7"/>
    <w:rsid w:val="005C632A"/>
    <w:rsid w:val="005C69B8"/>
    <w:rsid w:val="005C7E73"/>
    <w:rsid w:val="005D2A6F"/>
    <w:rsid w:val="005D3049"/>
    <w:rsid w:val="005D55AB"/>
    <w:rsid w:val="005E15E2"/>
    <w:rsid w:val="005E1770"/>
    <w:rsid w:val="005E31E1"/>
    <w:rsid w:val="005E3756"/>
    <w:rsid w:val="005E4F32"/>
    <w:rsid w:val="005E5917"/>
    <w:rsid w:val="005E5AD9"/>
    <w:rsid w:val="005E7133"/>
    <w:rsid w:val="005E7CCD"/>
    <w:rsid w:val="005E7EF4"/>
    <w:rsid w:val="005F1E25"/>
    <w:rsid w:val="005F390B"/>
    <w:rsid w:val="005F6C19"/>
    <w:rsid w:val="005F6CB3"/>
    <w:rsid w:val="005F75C0"/>
    <w:rsid w:val="005F7A03"/>
    <w:rsid w:val="00600B9B"/>
    <w:rsid w:val="00600FF2"/>
    <w:rsid w:val="00601721"/>
    <w:rsid w:val="006025FD"/>
    <w:rsid w:val="0060567A"/>
    <w:rsid w:val="00605A58"/>
    <w:rsid w:val="00606771"/>
    <w:rsid w:val="0060795A"/>
    <w:rsid w:val="00607E22"/>
    <w:rsid w:val="006102BB"/>
    <w:rsid w:val="00612E26"/>
    <w:rsid w:val="00613055"/>
    <w:rsid w:val="00614189"/>
    <w:rsid w:val="00614B37"/>
    <w:rsid w:val="006152C5"/>
    <w:rsid w:val="00620023"/>
    <w:rsid w:val="00621157"/>
    <w:rsid w:val="006220D9"/>
    <w:rsid w:val="0063002C"/>
    <w:rsid w:val="00631769"/>
    <w:rsid w:val="00632BA6"/>
    <w:rsid w:val="0063525B"/>
    <w:rsid w:val="00635BD1"/>
    <w:rsid w:val="0063726D"/>
    <w:rsid w:val="0064001B"/>
    <w:rsid w:val="00640144"/>
    <w:rsid w:val="006417D7"/>
    <w:rsid w:val="00644515"/>
    <w:rsid w:val="006472F9"/>
    <w:rsid w:val="00651728"/>
    <w:rsid w:val="00651D40"/>
    <w:rsid w:val="00655C69"/>
    <w:rsid w:val="00660328"/>
    <w:rsid w:val="00661AA1"/>
    <w:rsid w:val="006627EC"/>
    <w:rsid w:val="00663804"/>
    <w:rsid w:val="00664AB7"/>
    <w:rsid w:val="006658A1"/>
    <w:rsid w:val="00665CBD"/>
    <w:rsid w:val="0066768F"/>
    <w:rsid w:val="006701BB"/>
    <w:rsid w:val="006713E9"/>
    <w:rsid w:val="00671E3B"/>
    <w:rsid w:val="00672AA5"/>
    <w:rsid w:val="006760D7"/>
    <w:rsid w:val="0068075C"/>
    <w:rsid w:val="00682D09"/>
    <w:rsid w:val="006840C5"/>
    <w:rsid w:val="006908B2"/>
    <w:rsid w:val="0069506F"/>
    <w:rsid w:val="00695106"/>
    <w:rsid w:val="00696CEC"/>
    <w:rsid w:val="00697413"/>
    <w:rsid w:val="006A061E"/>
    <w:rsid w:val="006A0C4F"/>
    <w:rsid w:val="006A10B4"/>
    <w:rsid w:val="006A6323"/>
    <w:rsid w:val="006B0066"/>
    <w:rsid w:val="006B19F3"/>
    <w:rsid w:val="006B2E00"/>
    <w:rsid w:val="006B3800"/>
    <w:rsid w:val="006B5437"/>
    <w:rsid w:val="006C0807"/>
    <w:rsid w:val="006C0E86"/>
    <w:rsid w:val="006C105B"/>
    <w:rsid w:val="006C35EB"/>
    <w:rsid w:val="006C40AB"/>
    <w:rsid w:val="006C55D3"/>
    <w:rsid w:val="006C59BD"/>
    <w:rsid w:val="006C6546"/>
    <w:rsid w:val="006D1470"/>
    <w:rsid w:val="006D1BE6"/>
    <w:rsid w:val="006D305A"/>
    <w:rsid w:val="006E1DA2"/>
    <w:rsid w:val="006E4C24"/>
    <w:rsid w:val="006E4FFF"/>
    <w:rsid w:val="006E5C2B"/>
    <w:rsid w:val="006E5FD0"/>
    <w:rsid w:val="006F101F"/>
    <w:rsid w:val="006F30C5"/>
    <w:rsid w:val="006F38C8"/>
    <w:rsid w:val="006F44E1"/>
    <w:rsid w:val="006F66D5"/>
    <w:rsid w:val="006F715A"/>
    <w:rsid w:val="00700319"/>
    <w:rsid w:val="00702043"/>
    <w:rsid w:val="00702201"/>
    <w:rsid w:val="0070449A"/>
    <w:rsid w:val="00704FC5"/>
    <w:rsid w:val="00705CDE"/>
    <w:rsid w:val="00705F40"/>
    <w:rsid w:val="007102DA"/>
    <w:rsid w:val="00711309"/>
    <w:rsid w:val="00714D38"/>
    <w:rsid w:val="007201BA"/>
    <w:rsid w:val="00720D7D"/>
    <w:rsid w:val="007215A3"/>
    <w:rsid w:val="00721E85"/>
    <w:rsid w:val="007222B3"/>
    <w:rsid w:val="007232AE"/>
    <w:rsid w:val="00724315"/>
    <w:rsid w:val="007248A8"/>
    <w:rsid w:val="00724B47"/>
    <w:rsid w:val="00725D05"/>
    <w:rsid w:val="007305B7"/>
    <w:rsid w:val="007308DE"/>
    <w:rsid w:val="00731305"/>
    <w:rsid w:val="00732E9F"/>
    <w:rsid w:val="00733147"/>
    <w:rsid w:val="007402D9"/>
    <w:rsid w:val="0074035E"/>
    <w:rsid w:val="00742D5E"/>
    <w:rsid w:val="00745415"/>
    <w:rsid w:val="007461C2"/>
    <w:rsid w:val="00746920"/>
    <w:rsid w:val="0075237D"/>
    <w:rsid w:val="00752852"/>
    <w:rsid w:val="00753DDF"/>
    <w:rsid w:val="0075481A"/>
    <w:rsid w:val="00756E00"/>
    <w:rsid w:val="0076288F"/>
    <w:rsid w:val="00764265"/>
    <w:rsid w:val="00764C41"/>
    <w:rsid w:val="00767256"/>
    <w:rsid w:val="00767470"/>
    <w:rsid w:val="007728C8"/>
    <w:rsid w:val="00773300"/>
    <w:rsid w:val="007738DC"/>
    <w:rsid w:val="0077559F"/>
    <w:rsid w:val="00776B77"/>
    <w:rsid w:val="00780601"/>
    <w:rsid w:val="00780781"/>
    <w:rsid w:val="00780917"/>
    <w:rsid w:val="00781783"/>
    <w:rsid w:val="00783958"/>
    <w:rsid w:val="00785C09"/>
    <w:rsid w:val="00786254"/>
    <w:rsid w:val="00786DB5"/>
    <w:rsid w:val="007903EF"/>
    <w:rsid w:val="00794CB4"/>
    <w:rsid w:val="007953F3"/>
    <w:rsid w:val="0079553D"/>
    <w:rsid w:val="00797EB2"/>
    <w:rsid w:val="007A57BA"/>
    <w:rsid w:val="007A63DB"/>
    <w:rsid w:val="007A662D"/>
    <w:rsid w:val="007A6A7A"/>
    <w:rsid w:val="007A6C6C"/>
    <w:rsid w:val="007A7DCD"/>
    <w:rsid w:val="007B09CB"/>
    <w:rsid w:val="007B182F"/>
    <w:rsid w:val="007B195B"/>
    <w:rsid w:val="007B50FC"/>
    <w:rsid w:val="007B5644"/>
    <w:rsid w:val="007B5A8B"/>
    <w:rsid w:val="007B786A"/>
    <w:rsid w:val="007C6A57"/>
    <w:rsid w:val="007C73A9"/>
    <w:rsid w:val="007C79E9"/>
    <w:rsid w:val="007D21A3"/>
    <w:rsid w:val="007D2E55"/>
    <w:rsid w:val="007D3B0B"/>
    <w:rsid w:val="007D5704"/>
    <w:rsid w:val="007D5CC7"/>
    <w:rsid w:val="007E0E32"/>
    <w:rsid w:val="007E2043"/>
    <w:rsid w:val="007E23E6"/>
    <w:rsid w:val="007E5313"/>
    <w:rsid w:val="007E5EB9"/>
    <w:rsid w:val="007E61B7"/>
    <w:rsid w:val="007E7DF9"/>
    <w:rsid w:val="007F15F0"/>
    <w:rsid w:val="007F1985"/>
    <w:rsid w:val="007F1BC9"/>
    <w:rsid w:val="007F701E"/>
    <w:rsid w:val="007F7DF5"/>
    <w:rsid w:val="00800BEF"/>
    <w:rsid w:val="00801782"/>
    <w:rsid w:val="008046CC"/>
    <w:rsid w:val="00804CDF"/>
    <w:rsid w:val="0080559D"/>
    <w:rsid w:val="0080611E"/>
    <w:rsid w:val="00807EAF"/>
    <w:rsid w:val="00814E44"/>
    <w:rsid w:val="0081612E"/>
    <w:rsid w:val="008164F7"/>
    <w:rsid w:val="008169C4"/>
    <w:rsid w:val="00816CCD"/>
    <w:rsid w:val="00820B2D"/>
    <w:rsid w:val="00821614"/>
    <w:rsid w:val="008241ED"/>
    <w:rsid w:val="00827251"/>
    <w:rsid w:val="00832430"/>
    <w:rsid w:val="00833A15"/>
    <w:rsid w:val="008348DC"/>
    <w:rsid w:val="00834EBD"/>
    <w:rsid w:val="008365F7"/>
    <w:rsid w:val="00836836"/>
    <w:rsid w:val="00840B01"/>
    <w:rsid w:val="00840D03"/>
    <w:rsid w:val="00841097"/>
    <w:rsid w:val="0084298E"/>
    <w:rsid w:val="008432E0"/>
    <w:rsid w:val="00843D16"/>
    <w:rsid w:val="00843E5E"/>
    <w:rsid w:val="00844332"/>
    <w:rsid w:val="0085137D"/>
    <w:rsid w:val="00852D3C"/>
    <w:rsid w:val="008559A3"/>
    <w:rsid w:val="008614D5"/>
    <w:rsid w:val="00861B0E"/>
    <w:rsid w:val="00867A1F"/>
    <w:rsid w:val="008708AA"/>
    <w:rsid w:val="00870AF7"/>
    <w:rsid w:val="00870FE5"/>
    <w:rsid w:val="008713F4"/>
    <w:rsid w:val="0087176D"/>
    <w:rsid w:val="00872CF0"/>
    <w:rsid w:val="008738EE"/>
    <w:rsid w:val="00873E3A"/>
    <w:rsid w:val="00876524"/>
    <w:rsid w:val="0087756C"/>
    <w:rsid w:val="00882878"/>
    <w:rsid w:val="00883E7B"/>
    <w:rsid w:val="00885CF0"/>
    <w:rsid w:val="0089014B"/>
    <w:rsid w:val="008905E7"/>
    <w:rsid w:val="00892A66"/>
    <w:rsid w:val="00893D61"/>
    <w:rsid w:val="00897B47"/>
    <w:rsid w:val="008A2153"/>
    <w:rsid w:val="008A30EB"/>
    <w:rsid w:val="008A442A"/>
    <w:rsid w:val="008B1558"/>
    <w:rsid w:val="008B16E4"/>
    <w:rsid w:val="008B17B5"/>
    <w:rsid w:val="008B2740"/>
    <w:rsid w:val="008B6379"/>
    <w:rsid w:val="008C05E6"/>
    <w:rsid w:val="008C098E"/>
    <w:rsid w:val="008C122B"/>
    <w:rsid w:val="008C2002"/>
    <w:rsid w:val="008C2E76"/>
    <w:rsid w:val="008C2E7E"/>
    <w:rsid w:val="008C397E"/>
    <w:rsid w:val="008C64A8"/>
    <w:rsid w:val="008C6B80"/>
    <w:rsid w:val="008C6FD9"/>
    <w:rsid w:val="008D30C9"/>
    <w:rsid w:val="008D4BF0"/>
    <w:rsid w:val="008D5A41"/>
    <w:rsid w:val="008D61D6"/>
    <w:rsid w:val="008D6BAB"/>
    <w:rsid w:val="008D7727"/>
    <w:rsid w:val="008E0868"/>
    <w:rsid w:val="008E0F4D"/>
    <w:rsid w:val="008E2B51"/>
    <w:rsid w:val="008E3016"/>
    <w:rsid w:val="008E3D13"/>
    <w:rsid w:val="008E4D16"/>
    <w:rsid w:val="008E55DF"/>
    <w:rsid w:val="008E6697"/>
    <w:rsid w:val="008F0EF6"/>
    <w:rsid w:val="008F13D5"/>
    <w:rsid w:val="008F2EA2"/>
    <w:rsid w:val="008F5C62"/>
    <w:rsid w:val="008F69F1"/>
    <w:rsid w:val="00902032"/>
    <w:rsid w:val="00903BF2"/>
    <w:rsid w:val="00905515"/>
    <w:rsid w:val="009118A3"/>
    <w:rsid w:val="0091235D"/>
    <w:rsid w:val="00912383"/>
    <w:rsid w:val="00912638"/>
    <w:rsid w:val="00912A04"/>
    <w:rsid w:val="00913863"/>
    <w:rsid w:val="00914A93"/>
    <w:rsid w:val="00914E18"/>
    <w:rsid w:val="00915E3B"/>
    <w:rsid w:val="0092137B"/>
    <w:rsid w:val="0092166A"/>
    <w:rsid w:val="00923938"/>
    <w:rsid w:val="00925C16"/>
    <w:rsid w:val="00926BFA"/>
    <w:rsid w:val="00926F5F"/>
    <w:rsid w:val="00927E1F"/>
    <w:rsid w:val="009308E0"/>
    <w:rsid w:val="00930EAB"/>
    <w:rsid w:val="00933C05"/>
    <w:rsid w:val="009347A3"/>
    <w:rsid w:val="0093763E"/>
    <w:rsid w:val="00937DC3"/>
    <w:rsid w:val="00941A86"/>
    <w:rsid w:val="00942315"/>
    <w:rsid w:val="00942844"/>
    <w:rsid w:val="0094516D"/>
    <w:rsid w:val="00945403"/>
    <w:rsid w:val="009457C0"/>
    <w:rsid w:val="009469F6"/>
    <w:rsid w:val="00952837"/>
    <w:rsid w:val="00952F97"/>
    <w:rsid w:val="009535C1"/>
    <w:rsid w:val="00953F15"/>
    <w:rsid w:val="009542A6"/>
    <w:rsid w:val="0095540B"/>
    <w:rsid w:val="00955A71"/>
    <w:rsid w:val="00957F3E"/>
    <w:rsid w:val="00963C94"/>
    <w:rsid w:val="00964A17"/>
    <w:rsid w:val="009651BF"/>
    <w:rsid w:val="0096523A"/>
    <w:rsid w:val="00965657"/>
    <w:rsid w:val="009678F6"/>
    <w:rsid w:val="0097006A"/>
    <w:rsid w:val="009705DD"/>
    <w:rsid w:val="009727FE"/>
    <w:rsid w:val="0097614C"/>
    <w:rsid w:val="00976958"/>
    <w:rsid w:val="00982E3F"/>
    <w:rsid w:val="00983D2F"/>
    <w:rsid w:val="009845B6"/>
    <w:rsid w:val="00986AE4"/>
    <w:rsid w:val="00993F5D"/>
    <w:rsid w:val="00994B99"/>
    <w:rsid w:val="009950C7"/>
    <w:rsid w:val="009A2D88"/>
    <w:rsid w:val="009A3797"/>
    <w:rsid w:val="009A5711"/>
    <w:rsid w:val="009A64E5"/>
    <w:rsid w:val="009A7F8B"/>
    <w:rsid w:val="009B5AF8"/>
    <w:rsid w:val="009B5BA2"/>
    <w:rsid w:val="009B65A2"/>
    <w:rsid w:val="009B7114"/>
    <w:rsid w:val="009C0E0E"/>
    <w:rsid w:val="009C17FE"/>
    <w:rsid w:val="009C1893"/>
    <w:rsid w:val="009C4256"/>
    <w:rsid w:val="009C46E9"/>
    <w:rsid w:val="009C5AE4"/>
    <w:rsid w:val="009C660C"/>
    <w:rsid w:val="009C736A"/>
    <w:rsid w:val="009D0FBF"/>
    <w:rsid w:val="009D0FD5"/>
    <w:rsid w:val="009D299A"/>
    <w:rsid w:val="009D44FC"/>
    <w:rsid w:val="009D5101"/>
    <w:rsid w:val="009D63B6"/>
    <w:rsid w:val="009D64E9"/>
    <w:rsid w:val="009E09D0"/>
    <w:rsid w:val="009E251B"/>
    <w:rsid w:val="009E349D"/>
    <w:rsid w:val="009E38A0"/>
    <w:rsid w:val="009E41A5"/>
    <w:rsid w:val="009E4D35"/>
    <w:rsid w:val="009E5606"/>
    <w:rsid w:val="009F0114"/>
    <w:rsid w:val="009F2653"/>
    <w:rsid w:val="009F2A89"/>
    <w:rsid w:val="009F30F5"/>
    <w:rsid w:val="009F338C"/>
    <w:rsid w:val="009F6AC2"/>
    <w:rsid w:val="009F6AD2"/>
    <w:rsid w:val="00A00586"/>
    <w:rsid w:val="00A01682"/>
    <w:rsid w:val="00A04774"/>
    <w:rsid w:val="00A0513B"/>
    <w:rsid w:val="00A067CF"/>
    <w:rsid w:val="00A079F2"/>
    <w:rsid w:val="00A133F8"/>
    <w:rsid w:val="00A15BFE"/>
    <w:rsid w:val="00A17D46"/>
    <w:rsid w:val="00A219A9"/>
    <w:rsid w:val="00A22E20"/>
    <w:rsid w:val="00A26331"/>
    <w:rsid w:val="00A26E0B"/>
    <w:rsid w:val="00A2743A"/>
    <w:rsid w:val="00A2772D"/>
    <w:rsid w:val="00A309AA"/>
    <w:rsid w:val="00A33077"/>
    <w:rsid w:val="00A3361F"/>
    <w:rsid w:val="00A33872"/>
    <w:rsid w:val="00A34D1A"/>
    <w:rsid w:val="00A358BD"/>
    <w:rsid w:val="00A35981"/>
    <w:rsid w:val="00A3688E"/>
    <w:rsid w:val="00A45EBC"/>
    <w:rsid w:val="00A46C04"/>
    <w:rsid w:val="00A47E3B"/>
    <w:rsid w:val="00A52E00"/>
    <w:rsid w:val="00A52F88"/>
    <w:rsid w:val="00A54B61"/>
    <w:rsid w:val="00A57BBE"/>
    <w:rsid w:val="00A57BD3"/>
    <w:rsid w:val="00A61AFA"/>
    <w:rsid w:val="00A61F93"/>
    <w:rsid w:val="00A63756"/>
    <w:rsid w:val="00A64025"/>
    <w:rsid w:val="00A64A78"/>
    <w:rsid w:val="00A660BC"/>
    <w:rsid w:val="00A70DCC"/>
    <w:rsid w:val="00A71B12"/>
    <w:rsid w:val="00A755D3"/>
    <w:rsid w:val="00A7761C"/>
    <w:rsid w:val="00A77D93"/>
    <w:rsid w:val="00A80519"/>
    <w:rsid w:val="00A84217"/>
    <w:rsid w:val="00A93203"/>
    <w:rsid w:val="00A932A1"/>
    <w:rsid w:val="00A971C7"/>
    <w:rsid w:val="00AA0256"/>
    <w:rsid w:val="00AA14E9"/>
    <w:rsid w:val="00AA19B7"/>
    <w:rsid w:val="00AA2266"/>
    <w:rsid w:val="00AA2D3B"/>
    <w:rsid w:val="00AA45C2"/>
    <w:rsid w:val="00AA5E5A"/>
    <w:rsid w:val="00AA6248"/>
    <w:rsid w:val="00AA6978"/>
    <w:rsid w:val="00AB1429"/>
    <w:rsid w:val="00AB14CA"/>
    <w:rsid w:val="00AB19F7"/>
    <w:rsid w:val="00AB2642"/>
    <w:rsid w:val="00AB41FE"/>
    <w:rsid w:val="00AB44F2"/>
    <w:rsid w:val="00AB5196"/>
    <w:rsid w:val="00AB5556"/>
    <w:rsid w:val="00AB652F"/>
    <w:rsid w:val="00AB6C90"/>
    <w:rsid w:val="00AC0B39"/>
    <w:rsid w:val="00AC0C37"/>
    <w:rsid w:val="00AC0C46"/>
    <w:rsid w:val="00AC1575"/>
    <w:rsid w:val="00AC77A9"/>
    <w:rsid w:val="00AD0D1C"/>
    <w:rsid w:val="00AD544B"/>
    <w:rsid w:val="00AD5594"/>
    <w:rsid w:val="00AD57F8"/>
    <w:rsid w:val="00AD7212"/>
    <w:rsid w:val="00AD79CF"/>
    <w:rsid w:val="00AE014D"/>
    <w:rsid w:val="00AE1F6D"/>
    <w:rsid w:val="00AE2229"/>
    <w:rsid w:val="00AE2FA3"/>
    <w:rsid w:val="00AE4FCF"/>
    <w:rsid w:val="00AE6293"/>
    <w:rsid w:val="00AF01A7"/>
    <w:rsid w:val="00AF311F"/>
    <w:rsid w:val="00B00557"/>
    <w:rsid w:val="00B028D2"/>
    <w:rsid w:val="00B03524"/>
    <w:rsid w:val="00B03C48"/>
    <w:rsid w:val="00B04F16"/>
    <w:rsid w:val="00B06347"/>
    <w:rsid w:val="00B068E5"/>
    <w:rsid w:val="00B071C1"/>
    <w:rsid w:val="00B112B2"/>
    <w:rsid w:val="00B11F13"/>
    <w:rsid w:val="00B140EC"/>
    <w:rsid w:val="00B150F5"/>
    <w:rsid w:val="00B1652F"/>
    <w:rsid w:val="00B22FB9"/>
    <w:rsid w:val="00B24C9A"/>
    <w:rsid w:val="00B24EDE"/>
    <w:rsid w:val="00B3152D"/>
    <w:rsid w:val="00B31558"/>
    <w:rsid w:val="00B319E1"/>
    <w:rsid w:val="00B31F14"/>
    <w:rsid w:val="00B32539"/>
    <w:rsid w:val="00B35A08"/>
    <w:rsid w:val="00B40107"/>
    <w:rsid w:val="00B43F70"/>
    <w:rsid w:val="00B44CCA"/>
    <w:rsid w:val="00B46475"/>
    <w:rsid w:val="00B476AC"/>
    <w:rsid w:val="00B47C4F"/>
    <w:rsid w:val="00B51D9B"/>
    <w:rsid w:val="00B5487C"/>
    <w:rsid w:val="00B560E7"/>
    <w:rsid w:val="00B657A6"/>
    <w:rsid w:val="00B66D00"/>
    <w:rsid w:val="00B70E76"/>
    <w:rsid w:val="00B70FDC"/>
    <w:rsid w:val="00B71F34"/>
    <w:rsid w:val="00B727C9"/>
    <w:rsid w:val="00B72C27"/>
    <w:rsid w:val="00B74D8A"/>
    <w:rsid w:val="00B751F6"/>
    <w:rsid w:val="00B759E1"/>
    <w:rsid w:val="00B76A70"/>
    <w:rsid w:val="00B77936"/>
    <w:rsid w:val="00B86251"/>
    <w:rsid w:val="00B86CFF"/>
    <w:rsid w:val="00B87DE4"/>
    <w:rsid w:val="00B87EFE"/>
    <w:rsid w:val="00B9031A"/>
    <w:rsid w:val="00B908C6"/>
    <w:rsid w:val="00B90FC1"/>
    <w:rsid w:val="00B96C9F"/>
    <w:rsid w:val="00B975E8"/>
    <w:rsid w:val="00BA2991"/>
    <w:rsid w:val="00BA46C9"/>
    <w:rsid w:val="00BA5E47"/>
    <w:rsid w:val="00BA709C"/>
    <w:rsid w:val="00BB0203"/>
    <w:rsid w:val="00BB1E55"/>
    <w:rsid w:val="00BB3F55"/>
    <w:rsid w:val="00BB6801"/>
    <w:rsid w:val="00BB6C36"/>
    <w:rsid w:val="00BC0E93"/>
    <w:rsid w:val="00BC40CF"/>
    <w:rsid w:val="00BC4491"/>
    <w:rsid w:val="00BC6400"/>
    <w:rsid w:val="00BC696B"/>
    <w:rsid w:val="00BD0A93"/>
    <w:rsid w:val="00BD330D"/>
    <w:rsid w:val="00BD40C9"/>
    <w:rsid w:val="00BD40CC"/>
    <w:rsid w:val="00BD5AA2"/>
    <w:rsid w:val="00BD6B9D"/>
    <w:rsid w:val="00BD7C1F"/>
    <w:rsid w:val="00BD7E83"/>
    <w:rsid w:val="00BD7EF6"/>
    <w:rsid w:val="00BE2252"/>
    <w:rsid w:val="00BE22D3"/>
    <w:rsid w:val="00BE2882"/>
    <w:rsid w:val="00BE477C"/>
    <w:rsid w:val="00BE658C"/>
    <w:rsid w:val="00BE7048"/>
    <w:rsid w:val="00BE7512"/>
    <w:rsid w:val="00BF0987"/>
    <w:rsid w:val="00BF3227"/>
    <w:rsid w:val="00BF3C52"/>
    <w:rsid w:val="00BF53EE"/>
    <w:rsid w:val="00BF6D8C"/>
    <w:rsid w:val="00BF7384"/>
    <w:rsid w:val="00C01B56"/>
    <w:rsid w:val="00C0334E"/>
    <w:rsid w:val="00C03E57"/>
    <w:rsid w:val="00C05F53"/>
    <w:rsid w:val="00C07B97"/>
    <w:rsid w:val="00C150B2"/>
    <w:rsid w:val="00C16490"/>
    <w:rsid w:val="00C170E8"/>
    <w:rsid w:val="00C17F9C"/>
    <w:rsid w:val="00C24C6F"/>
    <w:rsid w:val="00C2582B"/>
    <w:rsid w:val="00C27999"/>
    <w:rsid w:val="00C357E9"/>
    <w:rsid w:val="00C36B1C"/>
    <w:rsid w:val="00C4057F"/>
    <w:rsid w:val="00C41363"/>
    <w:rsid w:val="00C41963"/>
    <w:rsid w:val="00C433F9"/>
    <w:rsid w:val="00C45F71"/>
    <w:rsid w:val="00C46A55"/>
    <w:rsid w:val="00C51FFE"/>
    <w:rsid w:val="00C53AC1"/>
    <w:rsid w:val="00C55B36"/>
    <w:rsid w:val="00C565C7"/>
    <w:rsid w:val="00C57242"/>
    <w:rsid w:val="00C574FE"/>
    <w:rsid w:val="00C609CC"/>
    <w:rsid w:val="00C60C46"/>
    <w:rsid w:val="00C6123C"/>
    <w:rsid w:val="00C61710"/>
    <w:rsid w:val="00C63C5F"/>
    <w:rsid w:val="00C6624D"/>
    <w:rsid w:val="00C663CC"/>
    <w:rsid w:val="00C66BFF"/>
    <w:rsid w:val="00C66C0A"/>
    <w:rsid w:val="00C67ECA"/>
    <w:rsid w:val="00C75E92"/>
    <w:rsid w:val="00C768AD"/>
    <w:rsid w:val="00C815EA"/>
    <w:rsid w:val="00C81CA9"/>
    <w:rsid w:val="00C82C37"/>
    <w:rsid w:val="00C83B71"/>
    <w:rsid w:val="00C83F5E"/>
    <w:rsid w:val="00C83F65"/>
    <w:rsid w:val="00C8433D"/>
    <w:rsid w:val="00C8436E"/>
    <w:rsid w:val="00C86135"/>
    <w:rsid w:val="00C87584"/>
    <w:rsid w:val="00C91C1B"/>
    <w:rsid w:val="00C931E3"/>
    <w:rsid w:val="00C94979"/>
    <w:rsid w:val="00C97E0B"/>
    <w:rsid w:val="00CA2A76"/>
    <w:rsid w:val="00CA2EE0"/>
    <w:rsid w:val="00CA4E1B"/>
    <w:rsid w:val="00CA5329"/>
    <w:rsid w:val="00CA5915"/>
    <w:rsid w:val="00CA6E7E"/>
    <w:rsid w:val="00CA6F30"/>
    <w:rsid w:val="00CB0B1D"/>
    <w:rsid w:val="00CB14EC"/>
    <w:rsid w:val="00CB1819"/>
    <w:rsid w:val="00CB319C"/>
    <w:rsid w:val="00CB47CB"/>
    <w:rsid w:val="00CB7DB0"/>
    <w:rsid w:val="00CC20A1"/>
    <w:rsid w:val="00CC25CA"/>
    <w:rsid w:val="00CC3BBE"/>
    <w:rsid w:val="00CC4750"/>
    <w:rsid w:val="00CC50FA"/>
    <w:rsid w:val="00CC56B0"/>
    <w:rsid w:val="00CC5936"/>
    <w:rsid w:val="00CC7EC3"/>
    <w:rsid w:val="00CD33B8"/>
    <w:rsid w:val="00CD4332"/>
    <w:rsid w:val="00CD43D3"/>
    <w:rsid w:val="00CD55CF"/>
    <w:rsid w:val="00CE0822"/>
    <w:rsid w:val="00CE34AE"/>
    <w:rsid w:val="00CE4A56"/>
    <w:rsid w:val="00CE74A1"/>
    <w:rsid w:val="00CF1200"/>
    <w:rsid w:val="00CF1489"/>
    <w:rsid w:val="00CF2847"/>
    <w:rsid w:val="00CF2A60"/>
    <w:rsid w:val="00CF73AE"/>
    <w:rsid w:val="00CF7CFC"/>
    <w:rsid w:val="00D0038F"/>
    <w:rsid w:val="00D00B64"/>
    <w:rsid w:val="00D01C92"/>
    <w:rsid w:val="00D02162"/>
    <w:rsid w:val="00D02B39"/>
    <w:rsid w:val="00D02C4B"/>
    <w:rsid w:val="00D03D81"/>
    <w:rsid w:val="00D05002"/>
    <w:rsid w:val="00D052B3"/>
    <w:rsid w:val="00D056F8"/>
    <w:rsid w:val="00D062C7"/>
    <w:rsid w:val="00D11218"/>
    <w:rsid w:val="00D1641B"/>
    <w:rsid w:val="00D16E9E"/>
    <w:rsid w:val="00D1705E"/>
    <w:rsid w:val="00D17DE8"/>
    <w:rsid w:val="00D21CF9"/>
    <w:rsid w:val="00D22896"/>
    <w:rsid w:val="00D22A82"/>
    <w:rsid w:val="00D24BC0"/>
    <w:rsid w:val="00D26227"/>
    <w:rsid w:val="00D27235"/>
    <w:rsid w:val="00D300E3"/>
    <w:rsid w:val="00D303AA"/>
    <w:rsid w:val="00D30DB9"/>
    <w:rsid w:val="00D312EC"/>
    <w:rsid w:val="00D314F4"/>
    <w:rsid w:val="00D327F5"/>
    <w:rsid w:val="00D32FEB"/>
    <w:rsid w:val="00D34B76"/>
    <w:rsid w:val="00D36372"/>
    <w:rsid w:val="00D42F92"/>
    <w:rsid w:val="00D445EF"/>
    <w:rsid w:val="00D51D99"/>
    <w:rsid w:val="00D522E8"/>
    <w:rsid w:val="00D56BEB"/>
    <w:rsid w:val="00D578D4"/>
    <w:rsid w:val="00D60356"/>
    <w:rsid w:val="00D60785"/>
    <w:rsid w:val="00D61347"/>
    <w:rsid w:val="00D61DC1"/>
    <w:rsid w:val="00D61EAD"/>
    <w:rsid w:val="00D6512B"/>
    <w:rsid w:val="00D677BF"/>
    <w:rsid w:val="00D70DDD"/>
    <w:rsid w:val="00D72691"/>
    <w:rsid w:val="00D728E0"/>
    <w:rsid w:val="00D73D49"/>
    <w:rsid w:val="00D7484A"/>
    <w:rsid w:val="00D74A74"/>
    <w:rsid w:val="00D75074"/>
    <w:rsid w:val="00D76DD0"/>
    <w:rsid w:val="00D77822"/>
    <w:rsid w:val="00D80DF2"/>
    <w:rsid w:val="00D80F1E"/>
    <w:rsid w:val="00D82BD5"/>
    <w:rsid w:val="00D83DC3"/>
    <w:rsid w:val="00D8630C"/>
    <w:rsid w:val="00D864D7"/>
    <w:rsid w:val="00D93886"/>
    <w:rsid w:val="00D93D8C"/>
    <w:rsid w:val="00D94E05"/>
    <w:rsid w:val="00D95A6D"/>
    <w:rsid w:val="00D965B8"/>
    <w:rsid w:val="00D96FF7"/>
    <w:rsid w:val="00DA1EA1"/>
    <w:rsid w:val="00DA306D"/>
    <w:rsid w:val="00DA5D2E"/>
    <w:rsid w:val="00DA610B"/>
    <w:rsid w:val="00DB1CAB"/>
    <w:rsid w:val="00DB45E9"/>
    <w:rsid w:val="00DB4730"/>
    <w:rsid w:val="00DB52CB"/>
    <w:rsid w:val="00DC02D9"/>
    <w:rsid w:val="00DC21C8"/>
    <w:rsid w:val="00DC28A6"/>
    <w:rsid w:val="00DC4E8D"/>
    <w:rsid w:val="00DC54BB"/>
    <w:rsid w:val="00DD1DDE"/>
    <w:rsid w:val="00DD2C52"/>
    <w:rsid w:val="00DD55A3"/>
    <w:rsid w:val="00DD7190"/>
    <w:rsid w:val="00DE01C6"/>
    <w:rsid w:val="00DE029F"/>
    <w:rsid w:val="00DE037D"/>
    <w:rsid w:val="00DE14EA"/>
    <w:rsid w:val="00DE15F0"/>
    <w:rsid w:val="00DE310D"/>
    <w:rsid w:val="00DE35A0"/>
    <w:rsid w:val="00DE3706"/>
    <w:rsid w:val="00DE3C4B"/>
    <w:rsid w:val="00DE5C02"/>
    <w:rsid w:val="00DF1BC1"/>
    <w:rsid w:val="00DF3663"/>
    <w:rsid w:val="00DF3DDE"/>
    <w:rsid w:val="00DF4203"/>
    <w:rsid w:val="00DF490D"/>
    <w:rsid w:val="00E00829"/>
    <w:rsid w:val="00E010E5"/>
    <w:rsid w:val="00E0198C"/>
    <w:rsid w:val="00E01B5A"/>
    <w:rsid w:val="00E01E3E"/>
    <w:rsid w:val="00E0424A"/>
    <w:rsid w:val="00E04E9D"/>
    <w:rsid w:val="00E0569B"/>
    <w:rsid w:val="00E07BD4"/>
    <w:rsid w:val="00E07E86"/>
    <w:rsid w:val="00E15F49"/>
    <w:rsid w:val="00E22DD1"/>
    <w:rsid w:val="00E234C0"/>
    <w:rsid w:val="00E237D5"/>
    <w:rsid w:val="00E23A0B"/>
    <w:rsid w:val="00E2542B"/>
    <w:rsid w:val="00E257A1"/>
    <w:rsid w:val="00E27EB5"/>
    <w:rsid w:val="00E30706"/>
    <w:rsid w:val="00E30A1E"/>
    <w:rsid w:val="00E30BF3"/>
    <w:rsid w:val="00E31563"/>
    <w:rsid w:val="00E31A79"/>
    <w:rsid w:val="00E3205D"/>
    <w:rsid w:val="00E3229D"/>
    <w:rsid w:val="00E36AC6"/>
    <w:rsid w:val="00E40AF5"/>
    <w:rsid w:val="00E40F49"/>
    <w:rsid w:val="00E42AE7"/>
    <w:rsid w:val="00E43802"/>
    <w:rsid w:val="00E45521"/>
    <w:rsid w:val="00E462D2"/>
    <w:rsid w:val="00E5196A"/>
    <w:rsid w:val="00E54866"/>
    <w:rsid w:val="00E55ED2"/>
    <w:rsid w:val="00E57671"/>
    <w:rsid w:val="00E6080A"/>
    <w:rsid w:val="00E62A17"/>
    <w:rsid w:val="00E62A53"/>
    <w:rsid w:val="00E647B1"/>
    <w:rsid w:val="00E67D08"/>
    <w:rsid w:val="00E70C8B"/>
    <w:rsid w:val="00E71C84"/>
    <w:rsid w:val="00E733E5"/>
    <w:rsid w:val="00E7406F"/>
    <w:rsid w:val="00E816D8"/>
    <w:rsid w:val="00E823F7"/>
    <w:rsid w:val="00E82E0D"/>
    <w:rsid w:val="00E8419B"/>
    <w:rsid w:val="00E8497F"/>
    <w:rsid w:val="00E84D48"/>
    <w:rsid w:val="00E86B86"/>
    <w:rsid w:val="00E87709"/>
    <w:rsid w:val="00E87DDA"/>
    <w:rsid w:val="00E87F84"/>
    <w:rsid w:val="00E90C93"/>
    <w:rsid w:val="00E9214A"/>
    <w:rsid w:val="00E934B2"/>
    <w:rsid w:val="00E9361A"/>
    <w:rsid w:val="00E93D81"/>
    <w:rsid w:val="00E952E8"/>
    <w:rsid w:val="00EA0906"/>
    <w:rsid w:val="00EA3146"/>
    <w:rsid w:val="00EA58CE"/>
    <w:rsid w:val="00EA5AC6"/>
    <w:rsid w:val="00EB1D16"/>
    <w:rsid w:val="00EB2383"/>
    <w:rsid w:val="00EB3AD2"/>
    <w:rsid w:val="00EB4193"/>
    <w:rsid w:val="00EB6949"/>
    <w:rsid w:val="00EC02C5"/>
    <w:rsid w:val="00EC1AC9"/>
    <w:rsid w:val="00EC2829"/>
    <w:rsid w:val="00EC5D66"/>
    <w:rsid w:val="00EC6C51"/>
    <w:rsid w:val="00ED0F36"/>
    <w:rsid w:val="00ED29DD"/>
    <w:rsid w:val="00ED2A78"/>
    <w:rsid w:val="00ED3C16"/>
    <w:rsid w:val="00ED444F"/>
    <w:rsid w:val="00ED4961"/>
    <w:rsid w:val="00ED5D0F"/>
    <w:rsid w:val="00ED78CB"/>
    <w:rsid w:val="00ED7ECC"/>
    <w:rsid w:val="00EE0871"/>
    <w:rsid w:val="00EE2B7E"/>
    <w:rsid w:val="00EE3423"/>
    <w:rsid w:val="00EE3DA2"/>
    <w:rsid w:val="00EE512D"/>
    <w:rsid w:val="00EE5E4F"/>
    <w:rsid w:val="00EF3120"/>
    <w:rsid w:val="00EF655B"/>
    <w:rsid w:val="00EF72AA"/>
    <w:rsid w:val="00F00B67"/>
    <w:rsid w:val="00F00C16"/>
    <w:rsid w:val="00F03302"/>
    <w:rsid w:val="00F03E62"/>
    <w:rsid w:val="00F06A15"/>
    <w:rsid w:val="00F079C7"/>
    <w:rsid w:val="00F07CF8"/>
    <w:rsid w:val="00F101B4"/>
    <w:rsid w:val="00F127E8"/>
    <w:rsid w:val="00F14364"/>
    <w:rsid w:val="00F15BE7"/>
    <w:rsid w:val="00F16BF1"/>
    <w:rsid w:val="00F16E5A"/>
    <w:rsid w:val="00F17505"/>
    <w:rsid w:val="00F17B0C"/>
    <w:rsid w:val="00F17B73"/>
    <w:rsid w:val="00F17BA7"/>
    <w:rsid w:val="00F20E13"/>
    <w:rsid w:val="00F24A42"/>
    <w:rsid w:val="00F24A55"/>
    <w:rsid w:val="00F271FF"/>
    <w:rsid w:val="00F309FA"/>
    <w:rsid w:val="00F32ADC"/>
    <w:rsid w:val="00F33949"/>
    <w:rsid w:val="00F33C97"/>
    <w:rsid w:val="00F346F2"/>
    <w:rsid w:val="00F3563A"/>
    <w:rsid w:val="00F368CE"/>
    <w:rsid w:val="00F4038F"/>
    <w:rsid w:val="00F42074"/>
    <w:rsid w:val="00F42311"/>
    <w:rsid w:val="00F42F0D"/>
    <w:rsid w:val="00F4371B"/>
    <w:rsid w:val="00F47B0E"/>
    <w:rsid w:val="00F53FD6"/>
    <w:rsid w:val="00F54ADD"/>
    <w:rsid w:val="00F56333"/>
    <w:rsid w:val="00F565FE"/>
    <w:rsid w:val="00F608BF"/>
    <w:rsid w:val="00F6235E"/>
    <w:rsid w:val="00F63E46"/>
    <w:rsid w:val="00F65A09"/>
    <w:rsid w:val="00F67574"/>
    <w:rsid w:val="00F67F0E"/>
    <w:rsid w:val="00F7367A"/>
    <w:rsid w:val="00F73CA8"/>
    <w:rsid w:val="00F755A6"/>
    <w:rsid w:val="00F757BC"/>
    <w:rsid w:val="00F75D37"/>
    <w:rsid w:val="00F76990"/>
    <w:rsid w:val="00F76C02"/>
    <w:rsid w:val="00F77B6F"/>
    <w:rsid w:val="00F83041"/>
    <w:rsid w:val="00F8633E"/>
    <w:rsid w:val="00F86666"/>
    <w:rsid w:val="00F879CE"/>
    <w:rsid w:val="00F90273"/>
    <w:rsid w:val="00F90383"/>
    <w:rsid w:val="00FA7487"/>
    <w:rsid w:val="00FA7F4A"/>
    <w:rsid w:val="00FB09F6"/>
    <w:rsid w:val="00FB1C69"/>
    <w:rsid w:val="00FB1FD8"/>
    <w:rsid w:val="00FB296E"/>
    <w:rsid w:val="00FB65F6"/>
    <w:rsid w:val="00FB6BA6"/>
    <w:rsid w:val="00FB6C75"/>
    <w:rsid w:val="00FB7E65"/>
    <w:rsid w:val="00FC100A"/>
    <w:rsid w:val="00FC1F1F"/>
    <w:rsid w:val="00FC2059"/>
    <w:rsid w:val="00FC22C5"/>
    <w:rsid w:val="00FC2C20"/>
    <w:rsid w:val="00FC5E5D"/>
    <w:rsid w:val="00FC6077"/>
    <w:rsid w:val="00FC74F3"/>
    <w:rsid w:val="00FD0B2A"/>
    <w:rsid w:val="00FD2637"/>
    <w:rsid w:val="00FD5417"/>
    <w:rsid w:val="00FD737F"/>
    <w:rsid w:val="00FD79AE"/>
    <w:rsid w:val="00FD7B80"/>
    <w:rsid w:val="00FE0045"/>
    <w:rsid w:val="00FE0EA6"/>
    <w:rsid w:val="00FE2504"/>
    <w:rsid w:val="00FE3D14"/>
    <w:rsid w:val="00FE4191"/>
    <w:rsid w:val="00FE4F17"/>
    <w:rsid w:val="00FF23AC"/>
    <w:rsid w:val="00FF37B5"/>
    <w:rsid w:val="00FF3996"/>
    <w:rsid w:val="00FF485E"/>
    <w:rsid w:val="00FF5249"/>
    <w:rsid w:val="01CE520B"/>
    <w:rsid w:val="02F230BB"/>
    <w:rsid w:val="04F12885"/>
    <w:rsid w:val="05EF39F0"/>
    <w:rsid w:val="07C753FE"/>
    <w:rsid w:val="0ADC0854"/>
    <w:rsid w:val="0B7D29E9"/>
    <w:rsid w:val="0BEE0FC7"/>
    <w:rsid w:val="0BFB2FE5"/>
    <w:rsid w:val="0C93684E"/>
    <w:rsid w:val="0D227F15"/>
    <w:rsid w:val="0DBA674C"/>
    <w:rsid w:val="0EB86546"/>
    <w:rsid w:val="0F9816BC"/>
    <w:rsid w:val="0FEF50F8"/>
    <w:rsid w:val="107A1FD1"/>
    <w:rsid w:val="12822FE2"/>
    <w:rsid w:val="15F85AF4"/>
    <w:rsid w:val="17ED0B5C"/>
    <w:rsid w:val="18EF02B2"/>
    <w:rsid w:val="1B8F5349"/>
    <w:rsid w:val="1DCF44DD"/>
    <w:rsid w:val="1DDD1097"/>
    <w:rsid w:val="1F7F395F"/>
    <w:rsid w:val="1FE63D84"/>
    <w:rsid w:val="22BC2550"/>
    <w:rsid w:val="23CB78F9"/>
    <w:rsid w:val="24722C07"/>
    <w:rsid w:val="2635118A"/>
    <w:rsid w:val="26C845C3"/>
    <w:rsid w:val="28AD7A81"/>
    <w:rsid w:val="2A3E8F6C"/>
    <w:rsid w:val="2B900FCB"/>
    <w:rsid w:val="2CDEED55"/>
    <w:rsid w:val="2EAF4EC3"/>
    <w:rsid w:val="31C87F18"/>
    <w:rsid w:val="34854E22"/>
    <w:rsid w:val="34965D51"/>
    <w:rsid w:val="354B7E15"/>
    <w:rsid w:val="367D3125"/>
    <w:rsid w:val="36BB57DB"/>
    <w:rsid w:val="377F59F7"/>
    <w:rsid w:val="397A6CEE"/>
    <w:rsid w:val="399C1594"/>
    <w:rsid w:val="3A7FFF7B"/>
    <w:rsid w:val="3B0E16E7"/>
    <w:rsid w:val="3B7C5B4B"/>
    <w:rsid w:val="3B7F51B8"/>
    <w:rsid w:val="3C910DC2"/>
    <w:rsid w:val="3CA10876"/>
    <w:rsid w:val="3D113318"/>
    <w:rsid w:val="3D57A4A1"/>
    <w:rsid w:val="3DF6190F"/>
    <w:rsid w:val="3DFDF99F"/>
    <w:rsid w:val="3EFE894F"/>
    <w:rsid w:val="3F3F27DA"/>
    <w:rsid w:val="3F6A8087"/>
    <w:rsid w:val="3F7ABFBF"/>
    <w:rsid w:val="3FEEC75B"/>
    <w:rsid w:val="3FFBC269"/>
    <w:rsid w:val="40B669B9"/>
    <w:rsid w:val="415A596B"/>
    <w:rsid w:val="42281EE1"/>
    <w:rsid w:val="428C49C6"/>
    <w:rsid w:val="42BCE444"/>
    <w:rsid w:val="46D07064"/>
    <w:rsid w:val="47032AA4"/>
    <w:rsid w:val="47F75340"/>
    <w:rsid w:val="482756FD"/>
    <w:rsid w:val="495101A5"/>
    <w:rsid w:val="49EF4DB5"/>
    <w:rsid w:val="49FDA254"/>
    <w:rsid w:val="4A220524"/>
    <w:rsid w:val="4D287642"/>
    <w:rsid w:val="4E9006AE"/>
    <w:rsid w:val="4F9E1D68"/>
    <w:rsid w:val="4FC45BC6"/>
    <w:rsid w:val="51987997"/>
    <w:rsid w:val="521B14C8"/>
    <w:rsid w:val="52250B1A"/>
    <w:rsid w:val="52E741CD"/>
    <w:rsid w:val="538F9DAA"/>
    <w:rsid w:val="55F87AFB"/>
    <w:rsid w:val="588A7E4B"/>
    <w:rsid w:val="5C023CA0"/>
    <w:rsid w:val="5CD59C3A"/>
    <w:rsid w:val="5D5FC9FE"/>
    <w:rsid w:val="5D797CAA"/>
    <w:rsid w:val="5DBA257B"/>
    <w:rsid w:val="5F7A38BD"/>
    <w:rsid w:val="5F9AE746"/>
    <w:rsid w:val="5F9E60BC"/>
    <w:rsid w:val="5FA2600F"/>
    <w:rsid w:val="610D76FB"/>
    <w:rsid w:val="618F1AEE"/>
    <w:rsid w:val="63ED3700"/>
    <w:rsid w:val="67EDF028"/>
    <w:rsid w:val="68A528F4"/>
    <w:rsid w:val="69971B4C"/>
    <w:rsid w:val="6BD39EA5"/>
    <w:rsid w:val="6BFDB543"/>
    <w:rsid w:val="6D576EF6"/>
    <w:rsid w:val="6F3FAE02"/>
    <w:rsid w:val="6F6E8CA4"/>
    <w:rsid w:val="6F7FF1BC"/>
    <w:rsid w:val="6FCA5CC3"/>
    <w:rsid w:val="6FED61FA"/>
    <w:rsid w:val="6FEE3EBE"/>
    <w:rsid w:val="6FFD2E51"/>
    <w:rsid w:val="6FFFA04A"/>
    <w:rsid w:val="73F56341"/>
    <w:rsid w:val="76AFD780"/>
    <w:rsid w:val="76B16B08"/>
    <w:rsid w:val="76BF7B60"/>
    <w:rsid w:val="76DD29BF"/>
    <w:rsid w:val="76DDD154"/>
    <w:rsid w:val="76EFFBA7"/>
    <w:rsid w:val="772FC605"/>
    <w:rsid w:val="77BC6422"/>
    <w:rsid w:val="77BE57DD"/>
    <w:rsid w:val="77C459BD"/>
    <w:rsid w:val="79EE8EF3"/>
    <w:rsid w:val="7A83BAA5"/>
    <w:rsid w:val="7ABF45A7"/>
    <w:rsid w:val="7AE54827"/>
    <w:rsid w:val="7B6D27A2"/>
    <w:rsid w:val="7B93CD2E"/>
    <w:rsid w:val="7C892A74"/>
    <w:rsid w:val="7D7B0A06"/>
    <w:rsid w:val="7DBF054B"/>
    <w:rsid w:val="7DFF6D70"/>
    <w:rsid w:val="7ED3777F"/>
    <w:rsid w:val="7EDF65B9"/>
    <w:rsid w:val="7EF5C761"/>
    <w:rsid w:val="7EF97743"/>
    <w:rsid w:val="7EFBBC78"/>
    <w:rsid w:val="7F1FAF2A"/>
    <w:rsid w:val="7F5F5F81"/>
    <w:rsid w:val="7F84925F"/>
    <w:rsid w:val="7FDF5BCF"/>
    <w:rsid w:val="7FF45A7E"/>
    <w:rsid w:val="7FFBD04A"/>
    <w:rsid w:val="7FFF5C85"/>
    <w:rsid w:val="7FFFA6CD"/>
    <w:rsid w:val="7FFFC08A"/>
    <w:rsid w:val="867F6F64"/>
    <w:rsid w:val="973B3B8D"/>
    <w:rsid w:val="9FF7CE54"/>
    <w:rsid w:val="A7998119"/>
    <w:rsid w:val="ADC79CBB"/>
    <w:rsid w:val="AE2CF578"/>
    <w:rsid w:val="AFEE5C9E"/>
    <w:rsid w:val="AFFD01A5"/>
    <w:rsid w:val="B79A86A0"/>
    <w:rsid w:val="B7FFB818"/>
    <w:rsid w:val="B9BF59F8"/>
    <w:rsid w:val="BBFB2027"/>
    <w:rsid w:val="BCFF2572"/>
    <w:rsid w:val="BDF7C6B3"/>
    <w:rsid w:val="BDFE83A7"/>
    <w:rsid w:val="BEF75866"/>
    <w:rsid w:val="BF3EB698"/>
    <w:rsid w:val="BFB3E929"/>
    <w:rsid w:val="BFFC47C8"/>
    <w:rsid w:val="BFFE3E51"/>
    <w:rsid w:val="C8B58C0B"/>
    <w:rsid w:val="CBDFE136"/>
    <w:rsid w:val="CFDE6A10"/>
    <w:rsid w:val="D3B6C3B4"/>
    <w:rsid w:val="D3EBD4B9"/>
    <w:rsid w:val="D5DCEDC9"/>
    <w:rsid w:val="D7F16C60"/>
    <w:rsid w:val="D7FAC31D"/>
    <w:rsid w:val="DBEF6B5C"/>
    <w:rsid w:val="DD1F88AC"/>
    <w:rsid w:val="DD7F0FCD"/>
    <w:rsid w:val="DDDFA1DC"/>
    <w:rsid w:val="DECD1528"/>
    <w:rsid w:val="DEFB1444"/>
    <w:rsid w:val="DF4F0CEA"/>
    <w:rsid w:val="DFBB40EA"/>
    <w:rsid w:val="DFBF1302"/>
    <w:rsid w:val="DFDE463B"/>
    <w:rsid w:val="DFF987B3"/>
    <w:rsid w:val="E2FFDDB0"/>
    <w:rsid w:val="E6EF71B8"/>
    <w:rsid w:val="E7FE7EA4"/>
    <w:rsid w:val="EA7D8691"/>
    <w:rsid w:val="ECB7DE96"/>
    <w:rsid w:val="ED5F805C"/>
    <w:rsid w:val="ED5F92C5"/>
    <w:rsid w:val="ED7EBA4F"/>
    <w:rsid w:val="EE5BB9F7"/>
    <w:rsid w:val="EF77F87B"/>
    <w:rsid w:val="EFB7EF65"/>
    <w:rsid w:val="F1D9386F"/>
    <w:rsid w:val="F1FB19BC"/>
    <w:rsid w:val="F2572F22"/>
    <w:rsid w:val="F2B9AF9B"/>
    <w:rsid w:val="F37F532F"/>
    <w:rsid w:val="F5FFD991"/>
    <w:rsid w:val="F77DABD6"/>
    <w:rsid w:val="F7B5B41A"/>
    <w:rsid w:val="F7CFA73D"/>
    <w:rsid w:val="F97F61C6"/>
    <w:rsid w:val="F9933EE4"/>
    <w:rsid w:val="FA7F1EFB"/>
    <w:rsid w:val="FB7B0220"/>
    <w:rsid w:val="FBEF0F20"/>
    <w:rsid w:val="FBF70E7F"/>
    <w:rsid w:val="FCB7350E"/>
    <w:rsid w:val="FDFB80A2"/>
    <w:rsid w:val="FEEFE72D"/>
    <w:rsid w:val="FEFB9253"/>
    <w:rsid w:val="FF5F79FD"/>
    <w:rsid w:val="FF7B6FA8"/>
    <w:rsid w:val="FF93DB91"/>
    <w:rsid w:val="FF9B109E"/>
    <w:rsid w:val="FF9FB695"/>
    <w:rsid w:val="FFA6E69D"/>
    <w:rsid w:val="FFB2A97A"/>
    <w:rsid w:val="FFC7A2EC"/>
    <w:rsid w:val="FFCF0F1D"/>
    <w:rsid w:val="FFDF5D3E"/>
    <w:rsid w:val="FFF46C26"/>
    <w:rsid w:val="FFF75F3C"/>
    <w:rsid w:val="FFFA053B"/>
    <w:rsid w:val="FFFA2D0A"/>
    <w:rsid w:val="FFFEE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adjustRightInd w:val="0"/>
      <w:snapToGrid w:val="0"/>
      <w:spacing w:before="340" w:after="330" w:line="560" w:lineRule="exact"/>
      <w:outlineLvl w:val="0"/>
    </w:pPr>
    <w:rPr>
      <w:rFonts w:eastAsiaTheme="majorEastAsia"/>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Date"/>
    <w:basedOn w:val="1"/>
    <w:next w:val="1"/>
    <w:link w:val="32"/>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rPr>
      <w:rFonts w:ascii="Times New Roman" w:hAnsi="Times New Roman" w:cs="Times New Roman"/>
      <w:sz w:val="24"/>
      <w:szCs w:val="24"/>
    </w:rPr>
  </w:style>
  <w:style w:type="paragraph" w:styleId="13">
    <w:name w:val="annotation subject"/>
    <w:basedOn w:val="5"/>
    <w:next w:val="5"/>
    <w:link w:val="34"/>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Char"/>
    <w:basedOn w:val="16"/>
    <w:link w:val="9"/>
    <w:qFormat/>
    <w:uiPriority w:val="99"/>
    <w:rPr>
      <w:sz w:val="18"/>
      <w:szCs w:val="18"/>
    </w:rPr>
  </w:style>
  <w:style w:type="character" w:customStyle="1" w:styleId="22">
    <w:name w:val="页脚 Char"/>
    <w:basedOn w:val="16"/>
    <w:link w:val="8"/>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6"/>
    <w:link w:val="2"/>
    <w:qFormat/>
    <w:uiPriority w:val="9"/>
    <w:rPr>
      <w:rFonts w:asciiTheme="minorHAnsi" w:hAnsiTheme="minorHAnsi" w:eastAsiaTheme="majorEastAsia"/>
      <w:b/>
      <w:bCs/>
      <w:kern w:val="44"/>
      <w:sz w:val="44"/>
      <w:szCs w:val="44"/>
    </w:rPr>
  </w:style>
  <w:style w:type="paragraph" w:customStyle="1" w:styleId="25">
    <w:name w:val="Char Char Char Char"/>
    <w:basedOn w:val="1"/>
    <w:qFormat/>
    <w:uiPriority w:val="0"/>
    <w:pPr>
      <w:widowControl/>
      <w:spacing w:after="160" w:line="240" w:lineRule="exact"/>
      <w:jc w:val="left"/>
    </w:pPr>
    <w:rPr>
      <w:rFonts w:ascii="Verdana" w:hAnsi="Verdana" w:eastAsia="宋体" w:cs="Times New Roman"/>
      <w:kern w:val="0"/>
      <w:sz w:val="24"/>
      <w:szCs w:val="24"/>
      <w:lang w:eastAsia="en-US"/>
    </w:rPr>
  </w:style>
  <w:style w:type="character" w:customStyle="1" w:styleId="26">
    <w:name w:val="bjh-p"/>
    <w:basedOn w:val="16"/>
    <w:qFormat/>
    <w:uiPriority w:val="0"/>
  </w:style>
  <w:style w:type="character" w:customStyle="1" w:styleId="27">
    <w:name w:val="批注框文本 Char"/>
    <w:basedOn w:val="16"/>
    <w:link w:val="7"/>
    <w:semiHidden/>
    <w:qFormat/>
    <w:uiPriority w:val="99"/>
    <w:rPr>
      <w:rFonts w:asciiTheme="minorHAnsi" w:hAnsiTheme="minorHAnsi" w:eastAsiaTheme="minorEastAsia" w:cstheme="minorBidi"/>
      <w:kern w:val="2"/>
      <w:sz w:val="18"/>
      <w:szCs w:val="18"/>
    </w:rPr>
  </w:style>
  <w:style w:type="paragraph" w:customStyle="1" w:styleId="28">
    <w:name w:val="Char Char Char Char Char Char Char Char Char Char Char Char Char Char Char Char Char Char Char Char Char Char"/>
    <w:basedOn w:val="1"/>
    <w:next w:val="1"/>
    <w:qFormat/>
    <w:uiPriority w:val="0"/>
    <w:pPr>
      <w:spacing w:line="360" w:lineRule="auto"/>
      <w:ind w:firstLine="200" w:firstLineChars="200"/>
    </w:pPr>
    <w:rPr>
      <w:rFonts w:ascii="Times New Roman" w:hAnsi="Times New Roman" w:eastAsia="宋体" w:cs="Times New Roman"/>
      <w:szCs w:val="20"/>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char"/>
    <w:basedOn w:val="1"/>
    <w:qFormat/>
    <w:uiPriority w:val="0"/>
    <w:pPr>
      <w:widowControl/>
      <w:spacing w:after="160" w:line="240" w:lineRule="exact"/>
      <w:jc w:val="left"/>
    </w:pPr>
    <w:rPr>
      <w:rFonts w:ascii="Times New Roman" w:hAnsi="Times New Roman" w:eastAsia="仿宋_GB2312" w:cs="Times New Roman"/>
      <w:sz w:val="32"/>
      <w:szCs w:val="20"/>
    </w:rPr>
  </w:style>
  <w:style w:type="paragraph" w:customStyle="1" w:styleId="31">
    <w:name w:val="TOC 标题1"/>
    <w:basedOn w:val="2"/>
    <w:next w:val="1"/>
    <w:unhideWhenUsed/>
    <w:qFormat/>
    <w:uiPriority w:val="39"/>
    <w:pPr>
      <w:widowControl/>
      <w:spacing w:before="240" w:after="0" w:line="259" w:lineRule="auto"/>
      <w:jc w:val="left"/>
      <w:outlineLvl w:val="9"/>
    </w:pPr>
    <w:rPr>
      <w:rFonts w:asciiTheme="majorHAnsi" w:hAnsiTheme="majorHAnsi" w:cstheme="majorBidi"/>
      <w:b w:val="0"/>
      <w:bCs w:val="0"/>
      <w:color w:val="2E75B6" w:themeColor="accent1" w:themeShade="BF"/>
      <w:kern w:val="0"/>
      <w:sz w:val="32"/>
      <w:szCs w:val="32"/>
    </w:rPr>
  </w:style>
  <w:style w:type="character" w:customStyle="1" w:styleId="32">
    <w:name w:val="日期 Char"/>
    <w:basedOn w:val="16"/>
    <w:link w:val="6"/>
    <w:semiHidden/>
    <w:qFormat/>
    <w:uiPriority w:val="99"/>
    <w:rPr>
      <w:rFonts w:asciiTheme="minorHAnsi" w:hAnsiTheme="minorHAnsi" w:eastAsiaTheme="minorEastAsia" w:cstheme="minorBidi"/>
      <w:kern w:val="2"/>
      <w:sz w:val="21"/>
      <w:szCs w:val="22"/>
    </w:rPr>
  </w:style>
  <w:style w:type="character" w:customStyle="1" w:styleId="33">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34">
    <w:name w:val="批注主题 Char"/>
    <w:basedOn w:val="33"/>
    <w:link w:val="13"/>
    <w:semiHidden/>
    <w:qFormat/>
    <w:uiPriority w:val="99"/>
    <w:rPr>
      <w:rFonts w:asciiTheme="minorHAnsi" w:hAnsiTheme="minorHAnsi" w:eastAsiaTheme="minorEastAsia" w:cstheme="minorBidi"/>
      <w:b/>
      <w:bCs/>
      <w:kern w:val="2"/>
      <w:sz w:val="21"/>
      <w:szCs w:val="22"/>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标题 3 Char"/>
    <w:basedOn w:val="16"/>
    <w:link w:val="4"/>
    <w:semiHidden/>
    <w:qFormat/>
    <w:uiPriority w:val="9"/>
    <w:rPr>
      <w:rFonts w:asciiTheme="minorHAnsi" w:hAnsiTheme="minorHAnsi" w:eastAsiaTheme="minorEastAsia" w:cstheme="minorBidi"/>
      <w:b/>
      <w:bCs/>
      <w:kern w:val="2"/>
      <w:sz w:val="32"/>
      <w:szCs w:val="32"/>
    </w:rPr>
  </w:style>
  <w:style w:type="character" w:customStyle="1" w:styleId="37">
    <w:name w:val="m"/>
    <w:basedOn w:val="16"/>
    <w:qFormat/>
    <w:uiPriority w:val="0"/>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character" w:customStyle="1" w:styleId="40">
    <w:name w:val="text-tag"/>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18117</Words>
  <Characters>19010</Characters>
  <Lines>137</Lines>
  <Paragraphs>38</Paragraphs>
  <TotalTime>0</TotalTime>
  <ScaleCrop>false</ScaleCrop>
  <LinksUpToDate>false</LinksUpToDate>
  <CharactersWithSpaces>19194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2022-03-28T00:28:00Z</dcterms:created>
  <dc:creator>user</dc:creator>
  <cp:lastModifiedBy>dodo</cp:lastModifiedBy>
  <cp:lastPrinted>2022-05-05T16:40:00Z</cp:lastPrinted>
  <dcterms:modified xsi:type="dcterms:W3CDTF">2022-05-18T07:44:32Z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7A54E3C1832447CFBF46DDB3E4DA3CA2</vt:lpwstr>
  </property>
</Properties>
</file>