
<file path=[Content_Types].xml><?xml version="1.0" encoding="utf-8"?>
<Types xmlns="http://schemas.openxmlformats.org/package/2006/content-types">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customXmlProperties+xml" PartName="/customXml/itemProps2.xml"/>
  <Override ContentType="application/vnd.openxmlformats-officedocument.customXmlProperties+xml" PartName="/customXml/itemProps3.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obfuscatedFont" PartName="/word/fonts/font1.odttf"/>
  <Override ContentType="application/vnd.openxmlformats-officedocument.obfuscatedFont" PartName="/word/fonts/font2.odttf"/>
  <Override ContentType="application/vnd.openxmlformats-officedocument.obfuscatedFont" PartName="/word/fonts/font3.odttf"/>
  <Override ContentType="application/vnd.openxmlformats-officedocument.obfuscatedFont" PartName="/word/fonts/font4.odttf"/>
  <Override ContentType="application/vnd.openxmlformats-officedocument.obfuscatedFont" PartName="/word/fonts/font5.odttf"/>
  <Override ContentType="application/vnd.openxmlformats-officedocument.obfuscatedFont" PartName="/word/fonts/font6.odttf"/>
  <Override ContentType="application/vnd.openxmlformats-officedocument.obfuscatedFont" PartName="/word/fonts/font7.odttf"/>
  <Override ContentType="application/vnd.openxmlformats-officedocument.obfuscatedFont" PartName="/word/fonts/font8.odttf"/>
  <Override ContentType="application/vnd.openxmlformats-officedocument.obfuscatedFont" PartName="/word/fonts/font9.odttf"/>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Relationships xmlns="http://schemas.openxmlformats.org/package/2006/relationships"><Relationship Id="rId1" Target="docProps/app.xml" Type="http://schemas.openxmlformats.org/officeDocument/2006/relationships/extended-properties"/><Relationship Id="rId2" Target="docProps/core.xml" Type="http://schemas.openxmlformats.org/package/2006/relationships/metadata/core-properties"/><Relationship Id="rId3" Target="docProps/custom.xml" Type="http://schemas.openxmlformats.org/officeDocument/2006/relationships/custom-properties"/><Relationship Id="rId4" Target="word/document.xml" Type="http://schemas.openxmlformats.org/officeDocument/2006/relationships/officeDocument"/></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4258183">
      <w:pPr>
        <w:spacing w:line="480" w:lineRule="exact"/>
        <w:ind w:firstLine="0" w:firstLineChars="0"/>
        <w:jc w:val="center"/>
        <w:outlineLvl w:val="0"/>
        <w:rPr>
          <w:rFonts w:hint="eastAsia" w:ascii="方正小标宋简体" w:eastAsia="方正小标宋简体"/>
          <w:sz w:val="44"/>
          <w:szCs w:val="44"/>
          <w:lang w:eastAsia="zh-CN"/>
        </w:rPr>
      </w:pPr>
    </w:p>
    <w:p w14:paraId="7E10EAA2">
      <w:pPr>
        <w:spacing w:line="480" w:lineRule="exact"/>
        <w:ind w:firstLine="0" w:firstLineChars="0"/>
        <w:jc w:val="center"/>
        <w:outlineLvl w:val="0"/>
        <w:rPr>
          <w:rFonts w:hint="eastAsia" w:ascii="方正小标宋简体" w:eastAsia="方正小标宋简体"/>
          <w:sz w:val="44"/>
          <w:szCs w:val="44"/>
          <w:lang w:eastAsia="zh-CN"/>
        </w:rPr>
      </w:pPr>
    </w:p>
    <w:p w14:paraId="6888568A">
      <w:pPr>
        <w:spacing w:line="480" w:lineRule="exact"/>
        <w:ind w:firstLine="0" w:firstLineChars="0"/>
        <w:jc w:val="center"/>
        <w:outlineLvl w:val="0"/>
        <w:rPr>
          <w:rFonts w:hint="eastAsia" w:ascii="方正小标宋简体" w:eastAsia="方正小标宋简体"/>
          <w:sz w:val="44"/>
          <w:szCs w:val="44"/>
          <w:lang w:eastAsia="zh-CN"/>
        </w:rPr>
      </w:pPr>
    </w:p>
    <w:p w14:paraId="17FC0872">
      <w:pPr>
        <w:spacing w:line="480" w:lineRule="exact"/>
        <w:ind w:firstLine="0" w:firstLineChars="0"/>
        <w:jc w:val="center"/>
        <w:outlineLvl w:val="0"/>
        <w:rPr>
          <w:rFonts w:hint="eastAsia" w:ascii="方正小标宋简体" w:eastAsia="方正小标宋简体"/>
          <w:sz w:val="44"/>
          <w:szCs w:val="44"/>
          <w:lang w:eastAsia="zh-CN"/>
        </w:rPr>
      </w:pPr>
    </w:p>
    <w:p w14:paraId="55FDCD28">
      <w:pPr>
        <w:spacing w:line="480" w:lineRule="exact"/>
        <w:ind w:firstLine="0" w:firstLineChars="0"/>
        <w:jc w:val="center"/>
        <w:outlineLvl w:val="0"/>
        <w:rPr>
          <w:rFonts w:hint="eastAsia" w:ascii="方正小标宋简体" w:eastAsia="方正小标宋简体"/>
          <w:sz w:val="44"/>
          <w:szCs w:val="44"/>
          <w:lang w:eastAsia="zh-CN"/>
        </w:rPr>
      </w:pPr>
    </w:p>
    <w:p w14:paraId="4E402491">
      <w:pPr>
        <w:spacing w:line="480" w:lineRule="exact"/>
        <w:ind w:firstLine="0" w:firstLineChars="0"/>
        <w:jc w:val="center"/>
        <w:outlineLvl w:val="0"/>
        <w:rPr>
          <w:rFonts w:hint="eastAsia" w:ascii="方正小标宋简体" w:eastAsia="方正小标宋简体"/>
          <w:sz w:val="44"/>
          <w:szCs w:val="44"/>
          <w:lang w:eastAsia="zh-CN"/>
        </w:rPr>
      </w:pPr>
    </w:p>
    <w:p w14:paraId="414BB582">
      <w:pPr>
        <w:spacing w:line="480" w:lineRule="exact"/>
        <w:ind w:firstLine="0" w:firstLineChars="0"/>
        <w:jc w:val="center"/>
        <w:outlineLvl w:val="0"/>
        <w:rPr>
          <w:rFonts w:hint="eastAsia" w:ascii="方正小标宋简体" w:eastAsia="方正小标宋简体"/>
          <w:sz w:val="44"/>
          <w:szCs w:val="44"/>
          <w:lang w:eastAsia="zh-CN"/>
        </w:rPr>
      </w:pPr>
    </w:p>
    <w:p w14:paraId="0ADAF840">
      <w:pPr>
        <w:spacing w:line="480" w:lineRule="exact"/>
        <w:ind w:firstLine="0" w:firstLineChars="0"/>
        <w:jc w:val="center"/>
        <w:outlineLvl w:val="0"/>
        <w:rPr>
          <w:rFonts w:hint="eastAsia" w:ascii="方正小标宋简体" w:eastAsia="方正小标宋简体"/>
          <w:sz w:val="44"/>
          <w:szCs w:val="44"/>
          <w:lang w:eastAsia="zh-CN"/>
        </w:rPr>
      </w:pPr>
    </w:p>
    <w:p w14:paraId="476E5BE2">
      <w:pPr>
        <w:spacing w:line="480" w:lineRule="exact"/>
        <w:ind w:firstLine="0" w:firstLineChars="0"/>
        <w:jc w:val="center"/>
        <w:outlineLvl w:val="0"/>
        <w:rPr>
          <w:rFonts w:hint="eastAsia" w:ascii="方正小标宋简体" w:eastAsia="方正小标宋简体"/>
          <w:sz w:val="44"/>
          <w:szCs w:val="44"/>
          <w:lang w:eastAsia="zh-CN"/>
        </w:rPr>
      </w:pPr>
    </w:p>
    <w:p w14:paraId="3096AE1F">
      <w:pPr>
        <w:spacing w:line="480" w:lineRule="exact"/>
        <w:ind w:firstLine="0" w:firstLineChars="0"/>
        <w:jc w:val="center"/>
        <w:outlineLvl w:val="0"/>
        <w:rPr>
          <w:rFonts w:hint="eastAsia" w:ascii="方正小标宋简体" w:eastAsia="方正小标宋简体"/>
          <w:sz w:val="44"/>
          <w:szCs w:val="44"/>
          <w:lang w:eastAsia="zh-CN"/>
        </w:rPr>
      </w:pPr>
    </w:p>
    <w:p w14:paraId="79AFAAC7">
      <w:pPr>
        <w:spacing w:line="480" w:lineRule="exact"/>
        <w:ind w:firstLine="0" w:firstLineChars="0"/>
        <w:jc w:val="center"/>
        <w:outlineLvl w:val="0"/>
        <w:rPr>
          <w:rFonts w:hint="eastAsia" w:ascii="方正小标宋简体" w:eastAsia="方正小标宋简体"/>
          <w:sz w:val="44"/>
          <w:szCs w:val="44"/>
        </w:rPr>
      </w:pPr>
      <w:r>
        <w:rPr>
          <w:rFonts w:hint="eastAsia" w:ascii="方正小标宋简体" w:eastAsia="方正小标宋简体"/>
          <w:sz w:val="44"/>
          <w:szCs w:val="44"/>
          <w:lang w:eastAsia="zh-CN"/>
        </w:rPr>
        <w:t>钦州市地方志编纂委员会办公室</w:t>
      </w:r>
      <w:r>
        <w:rPr>
          <w:rFonts w:hint="eastAsia" w:ascii="方正小标宋简体" w:eastAsia="方正小标宋简体"/>
          <w:sz w:val="44"/>
          <w:szCs w:val="44"/>
        </w:rPr>
        <w:t>202</w:t>
      </w:r>
      <w:r>
        <w:rPr>
          <w:rFonts w:hint="eastAsia" w:ascii="方正小标宋简体" w:eastAsia="方正小标宋简体"/>
          <w:sz w:val="44"/>
          <w:szCs w:val="44"/>
          <w:lang w:val="en-US" w:eastAsia="zh-CN"/>
        </w:rPr>
        <w:t>4</w:t>
      </w:r>
      <w:r>
        <w:rPr>
          <w:rFonts w:hint="eastAsia" w:ascii="方正小标宋简体" w:eastAsia="方正小标宋简体"/>
          <w:sz w:val="44"/>
          <w:szCs w:val="44"/>
        </w:rPr>
        <w:t>年度部门决算</w:t>
      </w:r>
    </w:p>
    <w:p w14:paraId="2F0A8747">
      <w:pPr>
        <w:spacing w:line="480" w:lineRule="exact"/>
        <w:ind w:firstLine="0" w:firstLineChars="0"/>
        <w:jc w:val="left"/>
        <w:rPr>
          <w:rFonts w:hint="eastAsia" w:ascii="仿宋_GB2312"/>
          <w:b/>
          <w:szCs w:val="32"/>
        </w:rPr>
      </w:pPr>
    </w:p>
    <w:p w14:paraId="7C3CE7C3">
      <w:pPr>
        <w:spacing w:line="480" w:lineRule="exact"/>
        <w:ind w:firstLine="0" w:firstLineChars="0"/>
        <w:jc w:val="center"/>
        <w:rPr>
          <w:rFonts w:hint="eastAsia" w:ascii="楷体_GB2312" w:eastAsia="楷体_GB2312"/>
          <w:b/>
          <w:sz w:val="48"/>
          <w:szCs w:val="48"/>
        </w:rPr>
      </w:pPr>
      <w:r>
        <w:br w:type="page"/>
      </w:r>
      <w:r>
        <w:rPr>
          <w:rFonts w:hint="eastAsia" w:ascii="楷体_GB2312" w:eastAsia="楷体_GB2312"/>
          <w:b/>
          <w:sz w:val="48"/>
          <w:szCs w:val="48"/>
        </w:rPr>
        <w:t>目录</w:t>
      </w:r>
    </w:p>
    <w:p w14:paraId="40790148">
      <w:pPr>
        <w:spacing w:line="480" w:lineRule="exact"/>
        <w:ind w:firstLine="301"/>
        <w:jc w:val="left"/>
        <w:rPr>
          <w:rFonts w:hint="eastAsia" w:ascii="仿宋_GB2312"/>
          <w:b/>
          <w:sz w:val="15"/>
          <w:szCs w:val="15"/>
        </w:rPr>
      </w:pPr>
    </w:p>
    <w:p w14:paraId="366F917B">
      <w:pPr>
        <w:spacing w:line="480" w:lineRule="exact"/>
        <w:ind w:firstLine="643"/>
        <w:jc w:val="left"/>
        <w:rPr>
          <w:rFonts w:hint="eastAsia" w:ascii="黑体" w:hAnsi="黑体" w:eastAsia="黑体" w:cs="黑体"/>
          <w:b w:val="0"/>
          <w:bCs/>
          <w:szCs w:val="32"/>
        </w:rPr>
      </w:pPr>
      <w:r>
        <w:rPr>
          <w:rFonts w:hint="eastAsia" w:ascii="黑体" w:hAnsi="黑体" w:eastAsia="黑体" w:cs="黑体"/>
          <w:b w:val="0"/>
          <w:bCs/>
          <w:szCs w:val="32"/>
        </w:rPr>
        <w:t>第一部分：</w:t>
      </w:r>
      <w:r>
        <w:rPr>
          <w:rFonts w:hint="eastAsia" w:ascii="黑体" w:hAnsi="黑体" w:eastAsia="黑体" w:cs="黑体"/>
          <w:b w:val="0"/>
          <w:bCs/>
          <w:color w:val="000000"/>
          <w:szCs w:val="32"/>
        </w:rPr>
        <w:t>部门</w:t>
      </w:r>
      <w:r>
        <w:rPr>
          <w:rFonts w:hint="eastAsia" w:ascii="黑体" w:hAnsi="黑体" w:eastAsia="黑体" w:cs="黑体"/>
          <w:b w:val="0"/>
          <w:bCs/>
          <w:szCs w:val="32"/>
        </w:rPr>
        <w:t>概况</w:t>
      </w:r>
    </w:p>
    <w:p w14:paraId="15A25CDE">
      <w:pPr>
        <w:numPr>
          <w:ilvl w:val="0"/>
          <w:numId w:val="0"/>
        </w:numPr>
        <w:spacing w:line="480" w:lineRule="exact"/>
        <w:ind w:firstLine="640" w:firstLineChars="200"/>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一、主要职能及机构设置情况</w:t>
      </w:r>
    </w:p>
    <w:p w14:paraId="5E43D2CA">
      <w:pPr>
        <w:numPr>
          <w:ilvl w:val="0"/>
          <w:numId w:val="0"/>
        </w:numPr>
        <w:spacing w:line="480" w:lineRule="exact"/>
        <w:ind w:firstLine="640" w:firstLineChars="200"/>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二、部门决算单位构成</w:t>
      </w:r>
    </w:p>
    <w:p w14:paraId="7CF185DE">
      <w:pPr>
        <w:spacing w:line="480" w:lineRule="exact"/>
        <w:ind w:firstLine="643"/>
        <w:jc w:val="left"/>
        <w:rPr>
          <w:rFonts w:hint="eastAsia" w:ascii="黑体" w:hAnsi="黑体" w:eastAsia="黑体" w:cs="黑体"/>
          <w:b w:val="0"/>
          <w:bCs/>
          <w:szCs w:val="32"/>
        </w:rPr>
      </w:pPr>
      <w:r>
        <w:rPr>
          <w:rFonts w:hint="eastAsia" w:ascii="黑体" w:hAnsi="黑体" w:eastAsia="黑体" w:cs="黑体"/>
          <w:b w:val="0"/>
          <w:bCs/>
          <w:szCs w:val="32"/>
        </w:rPr>
        <w:t>第二部分：202</w:t>
      </w:r>
      <w:r>
        <w:rPr>
          <w:rFonts w:hint="eastAsia" w:ascii="黑体" w:hAnsi="黑体" w:eastAsia="黑体" w:cs="黑体"/>
          <w:b w:val="0"/>
          <w:bCs/>
          <w:szCs w:val="32"/>
          <w:lang w:val="en-US" w:eastAsia="zh-CN"/>
        </w:rPr>
        <w:t>4</w:t>
      </w:r>
      <w:r>
        <w:rPr>
          <w:rFonts w:hint="eastAsia" w:ascii="黑体" w:hAnsi="黑体" w:eastAsia="黑体" w:cs="黑体"/>
          <w:b w:val="0"/>
          <w:bCs/>
          <w:szCs w:val="32"/>
        </w:rPr>
        <w:t>年度部门决算情况说明</w:t>
      </w:r>
    </w:p>
    <w:p w14:paraId="386EF794">
      <w:pPr>
        <w:numPr>
          <w:ilvl w:val="0"/>
          <w:numId w:val="0"/>
        </w:numPr>
        <w:spacing w:line="480" w:lineRule="exact"/>
        <w:ind w:firstLine="640" w:firstLineChars="200"/>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一、2024年度收入支出决算总体情况</w:t>
      </w:r>
    </w:p>
    <w:p w14:paraId="3755CB6F">
      <w:pPr>
        <w:numPr>
          <w:ilvl w:val="0"/>
          <w:numId w:val="0"/>
        </w:numPr>
        <w:spacing w:line="480" w:lineRule="exact"/>
        <w:ind w:firstLine="640" w:firstLineChars="200"/>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二、2024年度一般公共预算财政拨款支出决算情况</w:t>
      </w:r>
    </w:p>
    <w:p w14:paraId="7310E47E">
      <w:pPr>
        <w:numPr>
          <w:ilvl w:val="0"/>
          <w:numId w:val="0"/>
        </w:numPr>
        <w:spacing w:line="480" w:lineRule="exact"/>
        <w:ind w:firstLine="640" w:firstLineChars="200"/>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三、2024年度一般公共预算财政拨款基本支出决算情况</w:t>
      </w:r>
    </w:p>
    <w:p w14:paraId="3C57E70F">
      <w:pPr>
        <w:numPr>
          <w:ilvl w:val="0"/>
          <w:numId w:val="0"/>
        </w:numPr>
        <w:spacing w:line="480" w:lineRule="exact"/>
        <w:ind w:firstLine="640" w:firstLineChars="200"/>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四、2024年度政府性基金预算财政拨款支出决算情况</w:t>
      </w:r>
    </w:p>
    <w:p w14:paraId="6E50C948">
      <w:pPr>
        <w:numPr>
          <w:ilvl w:val="0"/>
          <w:numId w:val="0"/>
        </w:numPr>
        <w:spacing w:line="480" w:lineRule="exact"/>
        <w:ind w:firstLine="640" w:firstLineChars="200"/>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五、2024年度国有资本经营预算财政拨款支出决算情况</w:t>
      </w:r>
    </w:p>
    <w:p w14:paraId="4F798BE7">
      <w:pPr>
        <w:numPr>
          <w:ilvl w:val="0"/>
          <w:numId w:val="0"/>
        </w:numPr>
        <w:spacing w:line="480" w:lineRule="exact"/>
        <w:ind w:firstLine="640" w:firstLineChars="200"/>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六、2024年度财政拨款安排的“三公”经费支出决算情况说明</w:t>
      </w:r>
    </w:p>
    <w:p w14:paraId="043B9F27">
      <w:pPr>
        <w:spacing w:line="480" w:lineRule="exact"/>
        <w:ind w:firstLine="643"/>
        <w:jc w:val="left"/>
        <w:rPr>
          <w:rFonts w:hint="eastAsia" w:ascii="黑体" w:hAnsi="黑体" w:eastAsia="黑体" w:cs="黑体"/>
          <w:b w:val="0"/>
          <w:bCs/>
          <w:szCs w:val="32"/>
          <w:lang w:eastAsia="zh-CN"/>
        </w:rPr>
      </w:pPr>
      <w:r>
        <w:rPr>
          <w:rFonts w:hint="eastAsia" w:ascii="黑体" w:hAnsi="黑体" w:eastAsia="黑体" w:cs="黑体"/>
          <w:b w:val="0"/>
          <w:bCs/>
          <w:szCs w:val="32"/>
        </w:rPr>
        <w:t>第三部分：202</w:t>
      </w:r>
      <w:r>
        <w:rPr>
          <w:rFonts w:hint="eastAsia" w:ascii="黑体" w:hAnsi="黑体" w:eastAsia="黑体" w:cs="黑体"/>
          <w:b w:val="0"/>
          <w:bCs/>
          <w:szCs w:val="32"/>
          <w:lang w:val="en-US" w:eastAsia="zh-CN"/>
        </w:rPr>
        <w:t>4</w:t>
      </w:r>
      <w:r>
        <w:rPr>
          <w:rFonts w:hint="eastAsia" w:ascii="黑体" w:hAnsi="黑体" w:eastAsia="黑体" w:cs="黑体"/>
          <w:b w:val="0"/>
          <w:bCs/>
          <w:szCs w:val="32"/>
        </w:rPr>
        <w:t>年度部门决算</w:t>
      </w:r>
      <w:r>
        <w:rPr>
          <w:rFonts w:hint="eastAsia" w:ascii="黑体" w:hAnsi="黑体" w:eastAsia="黑体" w:cs="黑体"/>
          <w:b w:val="0"/>
          <w:bCs/>
          <w:szCs w:val="32"/>
          <w:lang w:eastAsia="zh-CN"/>
        </w:rPr>
        <w:t>报表</w:t>
      </w:r>
    </w:p>
    <w:p w14:paraId="51552EEE">
      <w:pPr>
        <w:numPr>
          <w:ilvl w:val="0"/>
          <w:numId w:val="0"/>
        </w:numPr>
        <w:spacing w:line="480" w:lineRule="exact"/>
        <w:ind w:firstLine="640" w:firstLineChars="200"/>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表一：收入支出决算总表</w:t>
      </w:r>
    </w:p>
    <w:p w14:paraId="3A76694F">
      <w:pPr>
        <w:numPr>
          <w:ilvl w:val="0"/>
          <w:numId w:val="0"/>
        </w:numPr>
        <w:spacing w:line="480" w:lineRule="exact"/>
        <w:ind w:firstLine="640" w:firstLineChars="200"/>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表二：收入决算表</w:t>
      </w:r>
    </w:p>
    <w:p w14:paraId="6B94EE70">
      <w:pPr>
        <w:numPr>
          <w:ilvl w:val="0"/>
          <w:numId w:val="0"/>
        </w:numPr>
        <w:spacing w:line="480" w:lineRule="exact"/>
        <w:ind w:firstLine="640" w:firstLineChars="200"/>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表三：支出决算表</w:t>
      </w:r>
    </w:p>
    <w:p w14:paraId="7669B011">
      <w:pPr>
        <w:numPr>
          <w:ilvl w:val="0"/>
          <w:numId w:val="0"/>
        </w:numPr>
        <w:spacing w:line="480" w:lineRule="exact"/>
        <w:ind w:firstLine="640" w:firstLineChars="200"/>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表四：财政拨款收入支出决算总表</w:t>
      </w:r>
    </w:p>
    <w:p w14:paraId="6D66DFFB">
      <w:pPr>
        <w:numPr>
          <w:ilvl w:val="0"/>
          <w:numId w:val="0"/>
        </w:numPr>
        <w:spacing w:line="480" w:lineRule="exact"/>
        <w:ind w:firstLine="640" w:firstLineChars="200"/>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表五：一般公共预算财政拨款支出决算表</w:t>
      </w:r>
    </w:p>
    <w:p w14:paraId="1F050769">
      <w:pPr>
        <w:numPr>
          <w:ilvl w:val="0"/>
          <w:numId w:val="0"/>
        </w:numPr>
        <w:spacing w:line="480" w:lineRule="exact"/>
        <w:ind w:firstLine="640" w:firstLineChars="200"/>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表六：一般公共预算财政拨款基本支出决算表</w:t>
      </w:r>
    </w:p>
    <w:p w14:paraId="079526E0">
      <w:pPr>
        <w:numPr>
          <w:ilvl w:val="0"/>
          <w:numId w:val="0"/>
        </w:numPr>
        <w:spacing w:line="480" w:lineRule="exact"/>
        <w:ind w:firstLine="640" w:firstLineChars="200"/>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表七：政府性基金预算财政拨款收入支出决算表</w:t>
      </w:r>
    </w:p>
    <w:p w14:paraId="53311C1F">
      <w:pPr>
        <w:numPr>
          <w:ilvl w:val="0"/>
          <w:numId w:val="0"/>
        </w:numPr>
        <w:spacing w:line="480" w:lineRule="exact"/>
        <w:ind w:firstLine="640" w:firstLineChars="200"/>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表八：国有资本经营预算财政拨款收入支出决算表</w:t>
      </w:r>
    </w:p>
    <w:p w14:paraId="1EBB4470">
      <w:pPr>
        <w:numPr>
          <w:ilvl w:val="0"/>
          <w:numId w:val="0"/>
        </w:numPr>
        <w:spacing w:line="480" w:lineRule="exact"/>
        <w:ind w:firstLine="640" w:firstLineChars="200"/>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表九：财政拨款“三公”经费支出决算表</w:t>
      </w:r>
    </w:p>
    <w:p w14:paraId="0A04D4DA">
      <w:pPr>
        <w:spacing w:line="480" w:lineRule="exact"/>
        <w:ind w:firstLine="643"/>
        <w:jc w:val="left"/>
        <w:rPr>
          <w:rFonts w:hint="eastAsia" w:ascii="黑体" w:hAnsi="黑体" w:eastAsia="黑体" w:cs="黑体"/>
          <w:b w:val="0"/>
          <w:bCs/>
          <w:szCs w:val="32"/>
          <w:lang w:eastAsia="zh-CN"/>
        </w:rPr>
      </w:pPr>
      <w:r>
        <w:rPr>
          <w:rFonts w:hint="eastAsia" w:ascii="黑体" w:hAnsi="黑体" w:eastAsia="黑体" w:cs="黑体"/>
          <w:b w:val="0"/>
          <w:bCs/>
          <w:szCs w:val="32"/>
        </w:rPr>
        <w:t>第</w:t>
      </w:r>
      <w:r>
        <w:rPr>
          <w:rFonts w:hint="eastAsia" w:ascii="黑体" w:hAnsi="黑体" w:eastAsia="黑体" w:cs="黑体"/>
          <w:b w:val="0"/>
          <w:bCs/>
          <w:szCs w:val="32"/>
          <w:lang w:eastAsia="zh-CN"/>
        </w:rPr>
        <w:t>四</w:t>
      </w:r>
      <w:r>
        <w:rPr>
          <w:rFonts w:hint="eastAsia" w:ascii="黑体" w:hAnsi="黑体" w:eastAsia="黑体" w:cs="黑体"/>
          <w:b w:val="0"/>
          <w:bCs/>
          <w:szCs w:val="32"/>
        </w:rPr>
        <w:t>部分:其他重要事项情况说明</w:t>
      </w:r>
    </w:p>
    <w:p w14:paraId="23E3BD9A">
      <w:pPr>
        <w:numPr>
          <w:ilvl w:val="0"/>
          <w:numId w:val="0"/>
        </w:numPr>
        <w:spacing w:line="480" w:lineRule="exact"/>
        <w:ind w:firstLine="640" w:firstLineChars="200"/>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一、机关运行经费支出情况说明</w:t>
      </w:r>
    </w:p>
    <w:p w14:paraId="2698D815">
      <w:pPr>
        <w:numPr>
          <w:ilvl w:val="0"/>
          <w:numId w:val="0"/>
        </w:numPr>
        <w:spacing w:line="480" w:lineRule="exact"/>
        <w:ind w:firstLine="640" w:firstLineChars="200"/>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二、政府采购支出情况说明</w:t>
      </w:r>
    </w:p>
    <w:p w14:paraId="4AD877F5">
      <w:pPr>
        <w:numPr>
          <w:ilvl w:val="0"/>
          <w:numId w:val="0"/>
        </w:numPr>
        <w:spacing w:line="480" w:lineRule="exact"/>
        <w:ind w:firstLine="640" w:firstLineChars="200"/>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三、国有资产占用情况说明</w:t>
      </w:r>
    </w:p>
    <w:p w14:paraId="676DEFA2">
      <w:pPr>
        <w:numPr>
          <w:ilvl w:val="0"/>
          <w:numId w:val="0"/>
        </w:numPr>
        <w:spacing w:line="480" w:lineRule="exact"/>
        <w:ind w:firstLine="640" w:firstLineChars="200"/>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四、预算绩效管理工作开展情况</w:t>
      </w:r>
    </w:p>
    <w:p w14:paraId="3DF84ADB">
      <w:pPr>
        <w:spacing w:line="480" w:lineRule="exact"/>
        <w:ind w:firstLine="643"/>
        <w:jc w:val="left"/>
        <w:rPr>
          <w:rFonts w:hint="eastAsia" w:ascii="黑体" w:hAnsi="黑体" w:eastAsia="黑体" w:cs="黑体"/>
          <w:b w:val="0"/>
          <w:bCs/>
          <w:szCs w:val="32"/>
        </w:rPr>
      </w:pPr>
      <w:r>
        <w:rPr>
          <w:rFonts w:hint="eastAsia" w:ascii="黑体" w:hAnsi="黑体" w:eastAsia="黑体" w:cs="黑体"/>
          <w:b w:val="0"/>
          <w:bCs/>
          <w:szCs w:val="32"/>
        </w:rPr>
        <w:t>第</w:t>
      </w:r>
      <w:r>
        <w:rPr>
          <w:rFonts w:hint="eastAsia" w:ascii="黑体" w:hAnsi="黑体" w:eastAsia="黑体" w:cs="黑体"/>
          <w:b w:val="0"/>
          <w:bCs/>
          <w:szCs w:val="32"/>
          <w:lang w:eastAsia="zh-CN"/>
        </w:rPr>
        <w:t>五</w:t>
      </w:r>
      <w:r>
        <w:rPr>
          <w:rFonts w:hint="eastAsia" w:ascii="黑体" w:hAnsi="黑体" w:eastAsia="黑体" w:cs="黑体"/>
          <w:b w:val="0"/>
          <w:bCs/>
          <w:szCs w:val="32"/>
        </w:rPr>
        <w:t>部分:名词解释</w:t>
      </w:r>
    </w:p>
    <w:p w14:paraId="13081D2C">
      <w:pPr>
        <w:spacing w:line="480" w:lineRule="exact"/>
        <w:ind w:firstLine="643"/>
        <w:jc w:val="left"/>
        <w:rPr>
          <w:rFonts w:hint="eastAsia" w:ascii="仿宋_GB2312"/>
          <w:b/>
          <w:szCs w:val="32"/>
        </w:rPr>
      </w:pPr>
      <w:r>
        <w:br w:type="page"/>
      </w:r>
    </w:p>
    <w:p w14:paraId="2AA9329C">
      <w:pPr>
        <w:spacing w:line="550" w:lineRule="exact"/>
        <w:ind w:left="0" w:leftChars="0" w:firstLine="640" w:firstLineChars="200"/>
        <w:jc w:val="center"/>
        <w:rPr>
          <w:rFonts w:hint="eastAsia" w:ascii="黑体" w:eastAsia="黑体"/>
          <w:szCs w:val="32"/>
        </w:rPr>
      </w:pPr>
      <w:r>
        <w:rPr>
          <w:rFonts w:hint="eastAsia" w:ascii="黑体" w:eastAsia="黑体"/>
          <w:szCs w:val="32"/>
        </w:rPr>
        <w:t>第一部分：部门概况</w:t>
      </w:r>
    </w:p>
    <w:p w14:paraId="003DADE9">
      <w:pPr>
        <w:numPr>
          <w:ilvl w:val="0"/>
          <w:numId w:val="1"/>
        </w:numPr>
        <w:spacing w:line="550" w:lineRule="exact"/>
        <w:ind w:left="640" w:leftChars="200" w:firstLine="0" w:firstLineChars="0"/>
        <w:jc w:val="left"/>
        <w:outlineLvl w:val="0"/>
        <w:rPr>
          <w:rFonts w:hint="eastAsia" w:ascii="黑体" w:eastAsia="黑体"/>
          <w:szCs w:val="32"/>
        </w:rPr>
      </w:pPr>
      <w:r>
        <w:rPr>
          <w:rFonts w:hint="eastAsia" w:ascii="黑体" w:eastAsia="黑体"/>
          <w:szCs w:val="32"/>
        </w:rPr>
        <w:t>主要职能及机构设置情况</w:t>
      </w:r>
    </w:p>
    <w:p w14:paraId="170545A0">
      <w:pPr>
        <w:spacing w:line="550" w:lineRule="exact"/>
        <w:ind w:firstLine="720" w:firstLineChars="225"/>
        <w:jc w:val="left"/>
        <w:rPr>
          <w:rFonts w:hint="eastAsia" w:ascii="仿宋_GB2312" w:hAnsi="Times New Roman" w:cs="Times New Roman"/>
          <w:szCs w:val="32"/>
          <w:lang w:val="en-US" w:eastAsia="zh-CN"/>
        </w:rPr>
      </w:pPr>
      <w:bookmarkStart w:id="0" w:name="OLE_LINK12"/>
      <w:r>
        <w:rPr>
          <w:rFonts w:hint="eastAsia" w:ascii="仿宋_GB2312" w:hAnsi="Times New Roman" w:cs="Times New Roman"/>
          <w:szCs w:val="32"/>
          <w:lang w:val="en-US" w:eastAsia="zh-CN"/>
        </w:rPr>
        <w:t>主要职能：</w:t>
      </w:r>
    </w:p>
    <w:p w14:paraId="7121211B">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（1）组织编纂市本级地方志书、地方综合年鉴及地方史，指导全市地方志书、地方年鉴与地方史编纂工作；</w:t>
      </w:r>
    </w:p>
    <w:p w14:paraId="3D6F82F9">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（2）搜集、保护、整理地方志文献和旧志资料，推动地方志资料年报工作；</w:t>
      </w:r>
    </w:p>
    <w:p w14:paraId="6D6AA70A">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（3）组织开展地情资源开发，提供地情咨询服务；</w:t>
      </w:r>
    </w:p>
    <w:p w14:paraId="66A3EBFC">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（4）推进方志馆（史志馆）及地情信息化建设。</w:t>
      </w:r>
    </w:p>
    <w:p w14:paraId="0EB8DE8C">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机构设置情况：</w:t>
      </w:r>
    </w:p>
    <w:p w14:paraId="16824C06">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我办是钦州市人民政府主管地方志工作的正处级财政全额拨款事业单位，并于2007年6月获批成为参照公务员法管理单位。内设综合科、史志科、年鉴科、地情信息科4个科室。</w:t>
      </w:r>
      <w:bookmarkEnd w:id="0"/>
    </w:p>
    <w:p w14:paraId="2C813AB2">
      <w:pPr>
        <w:spacing w:line="240" w:lineRule="auto"/>
        <w:ind w:left="0" w:leftChars="0" w:firstLine="640" w:firstLineChars="200"/>
        <w:jc w:val="left"/>
        <w:outlineLvl w:val="0"/>
        <w:rPr>
          <w:rFonts w:hint="eastAsia" w:ascii="仿宋_GB2312"/>
          <w:szCs w:val="32"/>
        </w:rPr>
      </w:pPr>
      <w:r>
        <w:rPr>
          <w:rFonts w:hint="eastAsia" w:ascii="黑体" w:eastAsia="黑体"/>
          <w:szCs w:val="32"/>
          <w:lang w:eastAsia="zh-CN"/>
        </w:rPr>
        <w:t>二</w:t>
      </w:r>
      <w:r>
        <w:rPr>
          <w:rFonts w:hint="eastAsia" w:ascii="黑体" w:eastAsia="黑体"/>
          <w:szCs w:val="32"/>
        </w:rPr>
        <w:t>、部门决算单位构成</w:t>
      </w:r>
    </w:p>
    <w:p w14:paraId="75835FD1">
      <w:pPr>
        <w:numPr>
          <w:ilvl w:val="0"/>
          <w:numId w:val="0"/>
        </w:numPr>
        <w:spacing w:line="480" w:lineRule="exact"/>
        <w:ind w:firstLine="640" w:firstLineChars="200"/>
        <w:jc w:val="left"/>
        <w:rPr>
          <w:rFonts w:hint="eastAsia" w:ascii="楷体_GB2312" w:hAnsi="Times New Roman" w:eastAsia="楷体_GB2312" w:cs="仿宋_GB2312"/>
          <w:kern w:val="0"/>
          <w:szCs w:val="32"/>
          <w:lang w:val="en-US" w:eastAsia="zh-CN"/>
        </w:rPr>
      </w:pPr>
      <w:r>
        <w:rPr>
          <w:rFonts w:hint="eastAsia" w:ascii="仿宋_GB2312" w:hAnsi="Times New Roman" w:cs="Times New Roman"/>
          <w:szCs w:val="32"/>
          <w:lang w:val="en-US" w:eastAsia="zh-CN"/>
        </w:rPr>
        <w:t>1.140钦州市地方志编纂委员会办公室（一级预算单位）；</w:t>
      </w:r>
    </w:p>
    <w:p w14:paraId="34BAC2BA">
      <w:pPr>
        <w:spacing w:line="480" w:lineRule="exact"/>
        <w:ind w:firstLine="640" w:firstLineChars="200"/>
        <w:jc w:val="left"/>
        <w:rPr>
          <w:rFonts w:hint="eastAsia" w:ascii="楷体_GB2312" w:hAnsi="Times New Roman" w:eastAsia="楷体_GB2312" w:cs="仿宋_GB2312"/>
          <w:kern w:val="0"/>
          <w:szCs w:val="32"/>
          <w:lang w:val="en-US" w:eastAsia="zh-CN"/>
        </w:rPr>
        <w:sectPr>
          <w:headerReference r:id="rId7" w:type="first"/>
          <w:footerReference r:id="rId10" w:type="first"/>
          <w:headerReference r:id="rId5" w:type="default"/>
          <w:footerReference r:id="rId8" w:type="default"/>
          <w:headerReference r:id="rId6" w:type="even"/>
          <w:footerReference r:id="rId9" w:type="even"/>
          <w:pgSz w:w="11906" w:h="16838"/>
          <w:pgMar w:top="1418" w:right="1531" w:bottom="1418" w:left="1531" w:header="851" w:footer="992" w:gutter="0"/>
          <w:pgNumType w:fmt="numberInDash"/>
          <w:cols w:space="720" w:num="1"/>
          <w:docGrid w:type="lines" w:linePitch="312" w:charSpace="0"/>
        </w:sectPr>
      </w:pPr>
      <w:r>
        <w:rPr>
          <w:rFonts w:hint="eastAsia" w:ascii="仿宋_GB2312" w:hAnsi="Times New Roman" w:cs="Times New Roman"/>
          <w:szCs w:val="32"/>
          <w:lang w:val="en-US" w:eastAsia="zh-CN"/>
        </w:rPr>
        <w:t>2.140001钦州市地方志编纂委员会办公室本级。</w:t>
      </w:r>
    </w:p>
    <w:p w14:paraId="49B75099">
      <w:pPr>
        <w:pStyle w:val="2"/>
        <w:jc w:val="left"/>
        <w:rPr>
          <w:rFonts w:hint="eastAsia"/>
          <w:lang w:eastAsia="zh-CN"/>
        </w:rPr>
      </w:pPr>
    </w:p>
    <w:p w14:paraId="1B4489A7">
      <w:pPr>
        <w:spacing w:line="550" w:lineRule="exact"/>
        <w:ind w:firstLine="720" w:firstLineChars="225"/>
        <w:jc w:val="left"/>
        <w:rPr>
          <w:rFonts w:hint="eastAsia" w:ascii="黑体" w:eastAsia="黑体"/>
          <w:szCs w:val="32"/>
        </w:rPr>
      </w:pPr>
      <w:r>
        <w:rPr>
          <w:rFonts w:hint="eastAsia" w:ascii="黑体" w:eastAsia="黑体"/>
          <w:szCs w:val="32"/>
        </w:rPr>
        <w:t>第二部分：202</w:t>
      </w:r>
      <w:r>
        <w:rPr>
          <w:rFonts w:hint="eastAsia" w:ascii="黑体" w:eastAsia="黑体"/>
          <w:szCs w:val="32"/>
          <w:lang w:val="en-US" w:eastAsia="zh-CN"/>
        </w:rPr>
        <w:t>4</w:t>
      </w:r>
      <w:r>
        <w:rPr>
          <w:rFonts w:hint="eastAsia" w:ascii="黑体" w:eastAsia="黑体"/>
          <w:szCs w:val="32"/>
        </w:rPr>
        <w:t>年度部门决算情况说明</w:t>
      </w:r>
    </w:p>
    <w:p w14:paraId="40A2DBCD">
      <w:pPr>
        <w:spacing w:line="550" w:lineRule="exact"/>
        <w:ind w:firstLine="720" w:firstLineChars="225"/>
        <w:jc w:val="left"/>
        <w:outlineLvl w:val="0"/>
        <w:rPr>
          <w:rFonts w:hint="eastAsia" w:ascii="黑体" w:eastAsia="黑体"/>
          <w:szCs w:val="32"/>
        </w:rPr>
      </w:pPr>
      <w:r>
        <w:rPr>
          <w:rFonts w:hint="eastAsia" w:ascii="黑体" w:eastAsia="黑体"/>
          <w:szCs w:val="32"/>
        </w:rPr>
        <w:t>一、202</w:t>
      </w:r>
      <w:r>
        <w:rPr>
          <w:rFonts w:hint="eastAsia" w:ascii="黑体" w:eastAsia="黑体"/>
          <w:szCs w:val="32"/>
          <w:lang w:val="en-US" w:eastAsia="zh-CN"/>
        </w:rPr>
        <w:t>4</w:t>
      </w:r>
      <w:r>
        <w:rPr>
          <w:rFonts w:hint="eastAsia" w:ascii="黑体" w:eastAsia="黑体"/>
          <w:szCs w:val="32"/>
        </w:rPr>
        <w:t>年度收入支出决算总体情况</w:t>
      </w:r>
    </w:p>
    <w:p w14:paraId="14528DB9">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（一）收入总计</w:t>
      </w:r>
      <w:r>
        <w:rPr>
          <w:rFonts w:ascii="仿宋_GB2312" w:hAnsi="仿宋_GB2312" w:cs="仿宋_GB2312"/>
          <w:u w:color="auto"/>
        </w:rPr>
        <w:t>309.88万元，同比下降7.91%。收入具体情况如下：</w:t>
      </w:r>
    </w:p>
    <w:p w14:paraId="30BF0A01">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财政拨款收入</w:t>
      </w:r>
      <w:r>
        <w:rPr>
          <w:rFonts w:ascii="仿宋_GB2312" w:hAnsi="仿宋_GB2312" w:cs="仿宋_GB2312"/>
          <w:u w:color="auto"/>
        </w:rPr>
        <w:t>309.88万元，为市本级财政当年拨付的财政资金。同比减少26.62万元，下降7.91%，主要原因是本年2人退休及部分项目在下一年度安排资金支出</w:t>
      </w:r>
      <w:r>
        <w:rPr>
          <w:rFonts w:hint="eastAsia" w:ascii="仿宋_GB2312" w:cs="Times New Roman"/>
          <w:szCs w:val="32"/>
          <w:lang w:val="en-US" w:eastAsia="zh-CN"/>
        </w:rPr>
        <w:t>。</w:t>
      </w:r>
    </w:p>
    <w:p w14:paraId="16DECD20">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（二）支出总计</w:t>
      </w:r>
      <w:r>
        <w:rPr>
          <w:rFonts w:ascii="仿宋_GB2312" w:hAnsi="仿宋_GB2312" w:cs="仿宋_GB2312"/>
          <w:u w:color="auto"/>
        </w:rPr>
        <w:t>309.88万元，同比下降7.91%。支出具体情况如下：</w:t>
      </w:r>
    </w:p>
    <w:p w14:paraId="36AF8E23">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1</w:t>
      </w:r>
      <w:r>
        <w:rPr>
          <w:rFonts w:ascii="仿宋_GB2312" w:hAnsi="仿宋_GB2312" w:cs="仿宋_GB2312"/>
          <w:u w:color="auto"/>
        </w:rPr>
        <w:t>.一般公共服务支出（201类）199.37万元：主要用于：行政运行、一般行政管理事务等方面的支出。同比减少55.93万元，下降21.91%，主要原因是：本年2人退休及部分项目在下一年度安排资金支出。</w:t>
      </w:r>
    </w:p>
    <w:p w14:paraId="1C95305D">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2</w:t>
      </w:r>
      <w:r>
        <w:rPr>
          <w:rFonts w:ascii="仿宋_GB2312" w:hAnsi="仿宋_GB2312" w:cs="仿宋_GB2312"/>
          <w:u w:color="auto"/>
        </w:rPr>
        <w:t>.社会保障和就业支出（208类）80.02万元：主要用于：按国家规定发放的离退休人员工资津补贴及离退休人员管理方面的支出。同比增加36.27万元，增长82.9%，主要原因是：本年2人退休且退休医疗补助标准提高。</w:t>
      </w:r>
    </w:p>
    <w:p w14:paraId="384220FA">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3</w:t>
      </w:r>
      <w:r>
        <w:rPr>
          <w:rFonts w:ascii="仿宋_GB2312" w:hAnsi="仿宋_GB2312" w:cs="仿宋_GB2312"/>
          <w:u w:color="auto"/>
        </w:rPr>
        <w:t>.卫生健康支出（210类）11.94万元：主要用于：职工医疗保障和计划生育等方面的支出。同比减少3.13万元，下降20.77%，主要原因是：本年2人退休。</w:t>
      </w:r>
    </w:p>
    <w:p w14:paraId="620CF93A">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4</w:t>
      </w:r>
      <w:r>
        <w:rPr>
          <w:rFonts w:ascii="仿宋_GB2312" w:hAnsi="仿宋_GB2312" w:cs="仿宋_GB2312"/>
          <w:u w:color="auto"/>
        </w:rPr>
        <w:t>.农林水支出（213类）2.86万元：主要用于：单位派驻乡村振兴工作队员驻村补贴发放。同比增加0.24万元，增长9.16%，主要原因是：补发上年乡村振兴工作队员驻村工作补助经费。</w:t>
      </w:r>
    </w:p>
    <w:p w14:paraId="515A32CD">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5</w:t>
      </w:r>
      <w:r>
        <w:rPr>
          <w:rFonts w:ascii="仿宋_GB2312" w:hAnsi="仿宋_GB2312" w:cs="仿宋_GB2312"/>
          <w:u w:color="auto"/>
        </w:rPr>
        <w:t>.住房保障支出（221类）15.69万元：主要用于：按照国家政策规定向职工发放的住房公积金、提租补贴、购房补贴等住房改革方面的支出。同比减少4.07万元，下降20.6%，主要原因是：本年2人退休。</w:t>
      </w:r>
    </w:p>
    <w:p w14:paraId="2F468AAF">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cs="Times New Roman"/>
          <w:szCs w:val="32"/>
          <w:lang w:val="en-US" w:eastAsia="zh"/>
          <w:woUserID w:val="4"/>
        </w:rPr>
        <w:t>6.</w:t>
      </w:r>
      <w:r>
        <w:rPr>
          <w:rFonts w:hint="eastAsia" w:ascii="仿宋_GB2312" w:hAnsi="Times New Roman" w:cs="Times New Roman"/>
          <w:szCs w:val="32"/>
          <w:lang w:val="en-US" w:eastAsia="zh-CN"/>
        </w:rPr>
        <w:t>结余分配</w:t>
      </w:r>
      <w:r>
        <w:rPr>
          <w:rFonts w:ascii="仿宋_GB2312" w:hAnsi="仿宋_GB2312" w:cs="仿宋_GB2312"/>
          <w:u w:color="auto"/>
        </w:rPr>
        <w:t>0.00万元，为事业单位按规定提取的职工福利基金、事业基金和缴纳的所得税等。同比</w:t>
      </w:r>
      <w:r>
        <w:rPr>
          <w:rFonts w:hint="eastAsia" w:ascii="仿宋_GB2312" w:hAnsi="仿宋_GB2312" w:cs="仿宋_GB2312"/>
          <w:u w:color="auto"/>
          <w:lang w:eastAsia="zh"/>
          <w:woUserID w:val="4"/>
        </w:rPr>
        <w:t>无增减</w:t>
      </w:r>
      <w:r>
        <w:rPr>
          <w:rFonts w:ascii="仿宋_GB2312" w:hAnsi="仿宋_GB2312" w:cs="仿宋_GB2312"/>
          <w:u w:color="auto"/>
        </w:rPr>
        <w:t>。</w:t>
      </w:r>
    </w:p>
    <w:p w14:paraId="0CB39F64">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cs="Times New Roman"/>
          <w:szCs w:val="32"/>
          <w:lang w:val="en-US" w:eastAsia="zh"/>
          <w:woUserID w:val="4"/>
        </w:rPr>
        <w:t>7.</w:t>
      </w:r>
      <w:r>
        <w:rPr>
          <w:rFonts w:hint="eastAsia" w:ascii="仿宋_GB2312" w:hAnsi="Times New Roman" w:cs="Times New Roman"/>
          <w:szCs w:val="32"/>
          <w:lang w:val="en-US" w:eastAsia="zh-CN"/>
        </w:rPr>
        <w:t>年末结转和结余</w:t>
      </w:r>
      <w:r>
        <w:rPr>
          <w:rFonts w:ascii="仿宋_GB2312" w:hAnsi="仿宋_GB2312" w:cs="仿宋_GB2312"/>
          <w:u w:color="auto"/>
        </w:rPr>
        <w:t>0.00万元，为本年度或以前年度预算安排，因客观条件发生变化无法按原计划实施，需要延迟到以后年度按有关规定继续使用的资金，既包括财政拨款结转和结余，也包括事业收入、经营收入、其他收入的结转和结余。同比</w:t>
      </w:r>
      <w:r>
        <w:rPr>
          <w:rFonts w:hint="eastAsia" w:ascii="仿宋_GB2312" w:hAnsi="仿宋_GB2312" w:cs="仿宋_GB2312"/>
          <w:u w:color="auto"/>
          <w:lang w:eastAsia="zh"/>
          <w:woUserID w:val="4"/>
        </w:rPr>
        <w:t>无增减</w:t>
      </w:r>
      <w:r>
        <w:rPr>
          <w:rFonts w:ascii="仿宋_GB2312" w:hAnsi="仿宋_GB2312" w:cs="仿宋_GB2312"/>
          <w:u w:color="auto"/>
        </w:rPr>
        <w:t>。</w:t>
      </w:r>
    </w:p>
    <w:p w14:paraId="3EDDFB5B">
      <w:pPr>
        <w:spacing w:line="550" w:lineRule="exact"/>
        <w:ind w:firstLine="720" w:firstLineChars="225"/>
        <w:jc w:val="left"/>
        <w:rPr>
          <w:rFonts w:hint="eastAsia" w:ascii="黑体" w:eastAsia="黑体"/>
          <w:szCs w:val="32"/>
        </w:rPr>
      </w:pPr>
      <w:r>
        <w:rPr>
          <w:rFonts w:hint="eastAsia" w:ascii="黑体" w:eastAsia="黑体"/>
          <w:szCs w:val="32"/>
          <w:highlight w:val="none"/>
        </w:rPr>
        <w:t>二</w:t>
      </w:r>
      <w:r>
        <w:rPr>
          <w:rFonts w:hint="eastAsia" w:ascii="黑体" w:eastAsia="黑体"/>
          <w:szCs w:val="32"/>
        </w:rPr>
        <w:t>、202</w:t>
      </w:r>
      <w:r>
        <w:rPr>
          <w:rFonts w:hint="eastAsia" w:ascii="黑体" w:eastAsia="黑体"/>
          <w:szCs w:val="32"/>
          <w:lang w:val="en-US" w:eastAsia="zh-CN"/>
        </w:rPr>
        <w:t>4</w:t>
      </w:r>
      <w:r>
        <w:rPr>
          <w:rFonts w:hint="eastAsia" w:ascii="黑体" w:eastAsia="黑体"/>
          <w:szCs w:val="32"/>
        </w:rPr>
        <w:t>年度一般公共预算财政拨款支出决算情况</w:t>
      </w:r>
    </w:p>
    <w:p w14:paraId="185919D1">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钦州市地方志编纂委员会办公室</w:t>
      </w:r>
      <w:r>
        <w:rPr>
          <w:rFonts w:ascii="仿宋_GB2312" w:hAnsi="仿宋_GB2312" w:cs="仿宋_GB2312"/>
          <w:u w:color="auto"/>
        </w:rPr>
        <w:t>单位2024年度一般公共预算财政拨款支出309.88万元，其中：基本支出268.47万元，项目支出41.41万元。具体支出情况如下：</w:t>
      </w:r>
    </w:p>
    <w:p w14:paraId="76823CD1">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w:t>
      </w:r>
      <w:r>
        <w:rPr>
          <w:rFonts w:ascii="仿宋_GB2312" w:hAnsi="仿宋_GB2312" w:cs="仿宋_GB2312"/>
          <w:u w:color="auto"/>
        </w:rPr>
        <w:t>1)行政运行(项)支出决算为170.35万元，主要用于：发放工资、津补贴，购买办公用品等日常公用经费支出。</w:t>
      </w:r>
    </w:p>
    <w:p w14:paraId="7019BC08">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w:t>
      </w:r>
      <w:r>
        <w:rPr>
          <w:rFonts w:ascii="仿宋_GB2312" w:hAnsi="仿宋_GB2312" w:cs="仿宋_GB2312"/>
          <w:u w:color="auto"/>
        </w:rPr>
        <w:t>2)一般行政管理事务(项)支出决算为29.02万元，主要用于：完成修志编鉴地方志工作任务等相关经费支出。</w:t>
      </w:r>
    </w:p>
    <w:p w14:paraId="33A54B57">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w:t>
      </w:r>
      <w:r>
        <w:rPr>
          <w:rFonts w:ascii="仿宋_GB2312" w:hAnsi="仿宋_GB2312" w:cs="仿宋_GB2312"/>
          <w:u w:color="auto"/>
        </w:rPr>
        <w:t>3)行政单位离退休(项)支出决算为20.4万元，主要用于：按国家规定发放的行政单位退休人员生活补贴及管理等方面的支出。</w:t>
      </w:r>
    </w:p>
    <w:p w14:paraId="4452D5A2">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w:t>
      </w:r>
      <w:r>
        <w:rPr>
          <w:rFonts w:ascii="仿宋_GB2312" w:hAnsi="仿宋_GB2312" w:cs="仿宋_GB2312"/>
          <w:u w:color="auto"/>
        </w:rPr>
        <w:t>4)事业单位离退休(项)支出决算为2.94万元，主要用于：按国家规定发放的事业单位退休人员生活补贴等方面的支出。</w:t>
      </w:r>
    </w:p>
    <w:p w14:paraId="48A9E73D">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w:t>
      </w:r>
      <w:r>
        <w:rPr>
          <w:rFonts w:ascii="仿宋_GB2312" w:hAnsi="仿宋_GB2312" w:cs="仿宋_GB2312"/>
          <w:u w:color="auto"/>
        </w:rPr>
        <w:t>5)机关事业单位基本养老保险缴费支出(项)支出决算为21.21万元，主要用于：缴纳单位基本养老保险支出。</w:t>
      </w:r>
    </w:p>
    <w:p w14:paraId="164EB86B">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w:t>
      </w:r>
      <w:r>
        <w:rPr>
          <w:rFonts w:ascii="仿宋_GB2312" w:hAnsi="仿宋_GB2312" w:cs="仿宋_GB2312"/>
          <w:u w:color="auto"/>
        </w:rPr>
        <w:t>6)机关事业单位职业年金缴费支出(项)支出决算为35.48万元，主要用于：为按规定的比例计缴的在职人员职业年金支出。</w:t>
      </w:r>
    </w:p>
    <w:p w14:paraId="19DE5757">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w:t>
      </w:r>
      <w:r>
        <w:rPr>
          <w:rFonts w:ascii="仿宋_GB2312" w:hAnsi="仿宋_GB2312" w:cs="仿宋_GB2312"/>
          <w:u w:color="auto"/>
        </w:rPr>
        <w:t>7)行政单位医疗(项)支出决算为7.05万元，主要用于：单位按规定比例计缴的基本医疗保险。</w:t>
      </w:r>
    </w:p>
    <w:p w14:paraId="3160AC90">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w:t>
      </w:r>
      <w:r>
        <w:rPr>
          <w:rFonts w:ascii="仿宋_GB2312" w:hAnsi="仿宋_GB2312" w:cs="仿宋_GB2312"/>
          <w:u w:color="auto"/>
        </w:rPr>
        <w:t>8)公务员医疗补助(项)支出决算为4.89万元，主要用于：为按规定的比例计缴的在职人员医疗补助支出。</w:t>
      </w:r>
    </w:p>
    <w:p w14:paraId="174FBB12">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w:t>
      </w:r>
      <w:r>
        <w:rPr>
          <w:rFonts w:ascii="仿宋_GB2312" w:hAnsi="仿宋_GB2312" w:cs="仿宋_GB2312"/>
          <w:u w:color="auto"/>
        </w:rPr>
        <w:t>9)其他农林水支出(项)支出决算为2.86万元，主要用于：单位派驻乡村振兴工作队员驻村补贴发放。</w:t>
      </w:r>
    </w:p>
    <w:p w14:paraId="3F5E56F3">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w:t>
      </w:r>
      <w:r>
        <w:rPr>
          <w:rFonts w:ascii="仿宋_GB2312" w:hAnsi="仿宋_GB2312" w:cs="仿宋_GB2312"/>
          <w:u w:color="auto"/>
        </w:rPr>
        <w:t>10)住房公积金(项)支出决算为15.69万元，主要用于：按照国家政策规定为职工计缴的住房公积金等住房改革方面的支出。</w:t>
      </w:r>
    </w:p>
    <w:p w14:paraId="17735D05">
      <w:pPr>
        <w:autoSpaceDE w:val="0"/>
        <w:autoSpaceDN w:val="0"/>
        <w:adjustRightInd w:val="0"/>
        <w:ind w:firstLine="640"/>
        <w:jc w:val="left"/>
        <w:rPr>
          <w:rFonts w:hint="eastAsia" w:ascii="黑体" w:eastAsia="黑体"/>
          <w:szCs w:val="32"/>
        </w:rPr>
      </w:pPr>
      <w:r>
        <w:rPr>
          <w:rFonts w:hint="eastAsia" w:ascii="黑体" w:eastAsia="黑体"/>
          <w:szCs w:val="32"/>
          <w:lang w:eastAsia="zh-CN"/>
        </w:rPr>
        <w:t>三</w:t>
      </w:r>
      <w:r>
        <w:rPr>
          <w:rFonts w:hint="eastAsia" w:ascii="黑体" w:eastAsia="黑体"/>
          <w:szCs w:val="32"/>
        </w:rPr>
        <w:t>、202</w:t>
      </w:r>
      <w:r>
        <w:rPr>
          <w:rFonts w:hint="eastAsia" w:ascii="黑体" w:eastAsia="黑体"/>
          <w:szCs w:val="32"/>
          <w:lang w:val="en-US" w:eastAsia="zh-CN"/>
        </w:rPr>
        <w:t>4</w:t>
      </w:r>
      <w:r>
        <w:rPr>
          <w:rFonts w:hint="eastAsia" w:ascii="黑体" w:eastAsia="黑体"/>
          <w:szCs w:val="32"/>
        </w:rPr>
        <w:t>年度一般公共预算财政拨款基本支出决算情况</w:t>
      </w:r>
    </w:p>
    <w:p w14:paraId="635A6A50">
      <w:pPr>
        <w:spacing w:line="550" w:lineRule="exact"/>
        <w:ind w:firstLine="720" w:firstLineChars="225"/>
        <w:jc w:val="left"/>
        <w:rPr>
          <w:rFonts w:hint="eastAsia" w:ascii="仿宋_GB2312" w:hAnsi="Times New Roman" w:cs="Times New Roman"/>
          <w:szCs w:val="32"/>
          <w:highlight w:val="none"/>
          <w:lang w:val="en-US" w:eastAsia="zh-CN"/>
        </w:rPr>
      </w:pPr>
      <w:r>
        <w:rPr>
          <w:rFonts w:hint="eastAsia" w:ascii="仿宋_GB2312" w:hAnsi="Times New Roman" w:cs="Times New Roman"/>
          <w:szCs w:val="32"/>
          <w:lang w:val="en-US" w:eastAsia="zh-CN"/>
        </w:rPr>
        <w:t>钦州市地方志编纂委员会办公室</w:t>
      </w:r>
      <w:r>
        <w:rPr>
          <w:rFonts w:ascii="仿宋_GB2312" w:hAnsi="仿宋_GB2312" w:cs="仿宋_GB2312"/>
          <w:u w:color="auto"/>
        </w:rPr>
        <w:t>2024年一般公共预算财政拨款基本支出268.47万元，其中：人员经费240.38万元</w:t>
      </w:r>
      <w:r>
        <w:rPr>
          <w:rFonts w:hint="eastAsia" w:ascii="仿宋_GB2312" w:hAnsi="Times New Roman" w:cs="Times New Roman"/>
          <w:szCs w:val="32"/>
          <w:highlight w:val="none"/>
          <w:lang w:val="en-US" w:eastAsia="zh-CN"/>
        </w:rPr>
        <w:t>，主要包括：</w:t>
      </w:r>
      <w:r>
        <w:rPr>
          <w:rFonts w:ascii="仿宋_GB2312" w:hAnsi="仿宋_GB2312" w:cs="仿宋_GB2312"/>
          <w:u w:color="auto"/>
        </w:rPr>
        <w:t>基本工资,津贴补贴,奖金,机关事业单位基本养老保险缴费,职业年金缴费,职工基本医疗保险缴费,公务员医疗补助缴费,其他社会保障缴费,住房公积金,其他工资福利支出,退休费,生活补助,医疗费补助,其他对个人和家庭的补助；公用经费支出28.09万元，主要包括：办公费,邮电费,差旅费,维修（护）费,会议费,培训费,公务接待费,工会经费,福利费,其他交通费用,其他商品和服务支出。</w:t>
      </w:r>
    </w:p>
    <w:p w14:paraId="4E8B7EEF">
      <w:pPr>
        <w:spacing w:line="550" w:lineRule="exact"/>
        <w:ind w:firstLine="720" w:firstLineChars="225"/>
        <w:jc w:val="left"/>
        <w:outlineLvl w:val="0"/>
        <w:rPr>
          <w:rFonts w:hint="eastAsia" w:ascii="黑体" w:eastAsia="黑体"/>
          <w:szCs w:val="32"/>
        </w:rPr>
      </w:pPr>
      <w:r>
        <w:rPr>
          <w:rFonts w:hint="eastAsia" w:ascii="黑体" w:eastAsia="黑体"/>
          <w:szCs w:val="32"/>
          <w:lang w:eastAsia="zh-CN"/>
        </w:rPr>
        <w:t>四</w:t>
      </w:r>
      <w:r>
        <w:rPr>
          <w:rFonts w:hint="eastAsia" w:ascii="黑体" w:eastAsia="黑体"/>
          <w:szCs w:val="32"/>
        </w:rPr>
        <w:t>、202</w:t>
      </w:r>
      <w:r>
        <w:rPr>
          <w:rFonts w:hint="eastAsia" w:ascii="黑体" w:eastAsia="黑体"/>
          <w:szCs w:val="32"/>
          <w:lang w:val="en-US" w:eastAsia="zh-CN"/>
        </w:rPr>
        <w:t>4</w:t>
      </w:r>
      <w:r>
        <w:rPr>
          <w:rFonts w:hint="eastAsia" w:ascii="黑体" w:eastAsia="黑体"/>
          <w:szCs w:val="32"/>
        </w:rPr>
        <w:t>年度政府性基金预算财政拨款支出决算情况</w:t>
      </w:r>
    </w:p>
    <w:p w14:paraId="12BC8865">
      <w:pPr>
        <w:keepNext w:val="0"/>
        <w:keepLines w:val="0"/>
        <w:widowControl w:val="0"/>
        <w:suppressLineNumbers w:val="0"/>
        <w:spacing w:before="0" w:beforeAutospacing="0" w:after="0" w:afterAutospacing="0" w:line="560" w:lineRule="exact"/>
        <w:ind w:left="0" w:right="0" w:firstLine="640" w:firstLineChars="200"/>
        <w:jc w:val="both"/>
        <w:rPr>
          <w:rFonts w:hint="eastAsia" w:ascii="仿宋_GB2312" w:hAnsi="Times New Roman" w:eastAsia="仿宋_GB2312" w:cs="Times New Roman"/>
          <w:color w:val="000000"/>
          <w:szCs w:val="32"/>
          <w:lang w:val="en-US" w:eastAsia="zh"/>
          <w:woUserID w:val="2"/>
        </w:rPr>
      </w:pPr>
      <w:r>
        <w:rPr>
          <w:rFonts w:hint="default" w:ascii="仿宋_GB2312" w:hAnsi="Times New Roman" w:eastAsia="仿宋_GB2312" w:cs="仿宋_GB2312"/>
          <w:b w:val="0"/>
          <w:bCs w:val="0"/>
          <w:color w:val="000000"/>
          <w:kern w:val="0"/>
          <w:sz w:val="32"/>
          <w:szCs w:val="32"/>
          <w:lang w:val="en-US" w:eastAsia="zh-CN" w:bidi="ar"/>
          <w:woUserID w:val="2"/>
        </w:rPr>
        <w:t>本单位2024年无政府性基金预算财政拨款支出</w:t>
      </w:r>
      <w:r>
        <w:rPr>
          <w:rFonts w:hint="eastAsia" w:ascii="仿宋_GB2312" w:hAnsi="Times New Roman" w:eastAsia="仿宋_GB2312" w:cs="仿宋_GB2312"/>
          <w:b w:val="0"/>
          <w:bCs w:val="0"/>
          <w:color w:val="000000"/>
          <w:kern w:val="0"/>
          <w:sz w:val="32"/>
          <w:szCs w:val="32"/>
          <w:lang w:val="en-US" w:eastAsia="zh" w:bidi="ar"/>
          <w:woUserID w:val="2"/>
        </w:rPr>
        <w:t>。</w:t>
      </w:r>
    </w:p>
    <w:p w14:paraId="4DE6C442">
      <w:pPr>
        <w:spacing w:line="550" w:lineRule="exact"/>
        <w:ind w:firstLine="720" w:firstLineChars="225"/>
        <w:jc w:val="left"/>
        <w:outlineLvl w:val="0"/>
        <w:rPr>
          <w:rFonts w:hint="eastAsia" w:ascii="黑体" w:eastAsia="黑体"/>
          <w:szCs w:val="32"/>
        </w:rPr>
      </w:pPr>
      <w:r>
        <w:rPr>
          <w:rFonts w:hint="eastAsia" w:ascii="黑体" w:eastAsia="黑体"/>
          <w:szCs w:val="32"/>
          <w:lang w:eastAsia="zh-CN"/>
        </w:rPr>
        <w:t>五</w:t>
      </w:r>
      <w:r>
        <w:rPr>
          <w:rFonts w:hint="eastAsia" w:ascii="黑体" w:eastAsia="黑体"/>
          <w:szCs w:val="32"/>
        </w:rPr>
        <w:t>、202</w:t>
      </w:r>
      <w:r>
        <w:rPr>
          <w:rFonts w:hint="eastAsia" w:ascii="黑体" w:eastAsia="黑体"/>
          <w:szCs w:val="32"/>
          <w:lang w:val="en-US" w:eastAsia="zh-CN"/>
        </w:rPr>
        <w:t>4</w:t>
      </w:r>
      <w:r>
        <w:rPr>
          <w:rFonts w:hint="eastAsia" w:ascii="黑体" w:eastAsia="黑体"/>
          <w:szCs w:val="32"/>
        </w:rPr>
        <w:t>年度国有资本经营预算财政拨款支出决算情况</w:t>
      </w:r>
    </w:p>
    <w:p w14:paraId="5D486E0D">
      <w:pPr>
        <w:keepNext w:val="0"/>
        <w:keepLines w:val="0"/>
        <w:widowControl w:val="0"/>
        <w:suppressLineNumbers w:val="0"/>
        <w:spacing w:before="0" w:beforeAutospacing="0" w:after="0" w:afterAutospacing="0" w:line="560" w:lineRule="exact"/>
        <w:ind w:left="0" w:right="0" w:firstLine="640" w:firstLineChars="200"/>
        <w:jc w:val="both"/>
        <w:rPr>
          <w:rFonts w:hint="eastAsia" w:ascii="仿宋_GB2312" w:hAnsi="Times New Roman" w:cs="Times New Roman"/>
          <w:szCs w:val="32"/>
          <w:lang w:val="en-US" w:eastAsia="zh-CN"/>
        </w:rPr>
      </w:pPr>
      <w:r>
        <w:rPr>
          <w:rFonts w:hint="default" w:ascii="仿宋_GB2312" w:hAnsi="Times New Roman" w:eastAsia="仿宋_GB2312" w:cs="仿宋_GB2312"/>
          <w:b w:val="0"/>
          <w:bCs w:val="0"/>
          <w:color w:val="000000"/>
          <w:kern w:val="0"/>
          <w:sz w:val="32"/>
          <w:szCs w:val="32"/>
          <w:lang w:val="en-US" w:eastAsia="zh-CN" w:bidi="ar"/>
          <w:woUserID w:val="2"/>
        </w:rPr>
        <w:t>本单位2024年无</w:t>
      </w:r>
      <w:r>
        <w:rPr>
          <w:rFonts w:hint="default" w:ascii="仿宋_GB2312" w:hAnsi="Times New Roman" w:eastAsia="仿宋_GB2312" w:cs="仿宋_GB2312"/>
          <w:b w:val="0"/>
          <w:bCs w:val="0"/>
          <w:color w:val="000000"/>
          <w:kern w:val="2"/>
          <w:sz w:val="32"/>
          <w:szCs w:val="32"/>
          <w:lang w:val="en-US" w:eastAsia="zh-CN" w:bidi="ar"/>
          <w:woUserID w:val="2"/>
        </w:rPr>
        <w:t>国有资本经营预算财政拨款支出</w:t>
      </w:r>
      <w:r>
        <w:rPr>
          <w:rFonts w:hint="eastAsia" w:ascii="仿宋_GB2312" w:cs="Times New Roman"/>
          <w:szCs w:val="32"/>
          <w:lang w:val="en-US" w:eastAsia="zh-CN"/>
        </w:rPr>
        <w:t>。</w:t>
      </w:r>
    </w:p>
    <w:p w14:paraId="1EB80F0A">
      <w:pPr>
        <w:spacing w:line="550" w:lineRule="exact"/>
        <w:ind w:firstLine="720" w:firstLineChars="225"/>
        <w:jc w:val="left"/>
        <w:rPr>
          <w:rFonts w:hint="eastAsia" w:ascii="黑体" w:eastAsia="黑体"/>
          <w:szCs w:val="32"/>
        </w:rPr>
      </w:pPr>
      <w:r>
        <w:rPr>
          <w:rFonts w:hint="eastAsia" w:ascii="黑体" w:eastAsia="黑体"/>
          <w:szCs w:val="32"/>
          <w:lang w:eastAsia="zh-CN"/>
        </w:rPr>
        <w:t>六</w:t>
      </w:r>
      <w:r>
        <w:rPr>
          <w:rFonts w:hint="eastAsia" w:ascii="黑体" w:eastAsia="黑体"/>
          <w:szCs w:val="32"/>
        </w:rPr>
        <w:t>、</w:t>
      </w:r>
      <w:r>
        <w:rPr>
          <w:rFonts w:hint="eastAsia" w:ascii="黑体" w:eastAsia="黑体"/>
          <w:szCs w:val="32"/>
          <w:lang w:val="en-US" w:eastAsia="zh-CN"/>
        </w:rPr>
        <w:t>2024年</w:t>
      </w:r>
      <w:r>
        <w:rPr>
          <w:rFonts w:hint="eastAsia" w:ascii="黑体" w:eastAsia="黑体"/>
          <w:szCs w:val="32"/>
        </w:rPr>
        <w:t>度财政拨款安排的“三公”经费支出决算情况说明</w:t>
      </w:r>
    </w:p>
    <w:p w14:paraId="382BA335">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钦州市地方志编纂委员会办公室</w:t>
      </w:r>
      <w:r>
        <w:rPr>
          <w:rFonts w:ascii="仿宋_GB2312" w:hAnsi="仿宋_GB2312" w:cs="仿宋_GB2312"/>
          <w:u w:color="auto"/>
        </w:rPr>
        <w:t>2024年度财政拨款“三公”经费年初预算安排0.15万元，支出决算0.12万元，完成年初预算的80.00%；支出决算数比2023年度增长50.00%。具体情况如下：</w:t>
      </w:r>
    </w:p>
    <w:p w14:paraId="2DE459D1">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（一）2024年度因公出国（境）支出</w:t>
      </w:r>
      <w:r>
        <w:rPr>
          <w:rFonts w:ascii="仿宋_GB2312" w:hAnsi="仿宋_GB2312" w:cs="仿宋_GB2312"/>
          <w:u w:color="auto"/>
        </w:rPr>
        <w:t>0.00万元，同比</w:t>
      </w:r>
      <w:r>
        <w:rPr>
          <w:rFonts w:hint="eastAsia" w:ascii="仿宋_GB2312" w:hAnsi="仿宋_GB2312" w:cs="仿宋_GB2312"/>
          <w:u w:color="auto"/>
          <w:lang w:eastAsia="zh"/>
          <w:woUserID w:val="4"/>
        </w:rPr>
        <w:t>无增减</w:t>
      </w:r>
      <w:r>
        <w:rPr>
          <w:rFonts w:ascii="仿宋_GB2312" w:hAnsi="仿宋_GB2312" w:cs="仿宋_GB2312"/>
          <w:u w:color="auto"/>
        </w:rPr>
        <w:t>。主要用于：单位工作人员公务出国（境）的住宿费、培训费、杂费等支出。2024年本单位安排因公出国（境）团组0个，参加其他单位组织的出国（境）团组0个，全年因公出国（境）共计0人次。</w:t>
      </w:r>
    </w:p>
    <w:p w14:paraId="7A9C1ADB">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从预决算执行情况来看，2024年度因公出国（境）支出决算数与年初预算数存有差异的主要原因是：无因公出国（境）。</w:t>
      </w:r>
    </w:p>
    <w:p w14:paraId="386A60C5">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从上下年增减变动情况来看，2024年度因公出国（境）支出决算数与2023年度决算数存有增减变动的主要原因是：无因公出国（境）。</w:t>
      </w:r>
    </w:p>
    <w:p w14:paraId="397C91E3">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（二）2024年度公务用车购置及运行费支出</w:t>
      </w:r>
      <w:r>
        <w:rPr>
          <w:rFonts w:ascii="仿宋_GB2312" w:hAnsi="仿宋_GB2312" w:cs="仿宋_GB2312"/>
          <w:u w:color="auto"/>
        </w:rPr>
        <w:t>0.00万元，</w:t>
      </w:r>
      <w:r>
        <w:rPr>
          <w:rFonts w:hint="eastAsia" w:ascii="仿宋_GB2312" w:hAnsi="仿宋_GB2312" w:cs="仿宋_GB2312"/>
          <w:u w:color="auto"/>
          <w:lang w:eastAsia="zh"/>
          <w:woUserID w:val="4"/>
        </w:rPr>
        <w:t>与</w:t>
      </w:r>
      <w:r>
        <w:rPr>
          <w:rFonts w:ascii="仿宋_GB2312" w:hAnsi="仿宋_GB2312" w:cs="仿宋_GB2312"/>
          <w:u w:color="auto"/>
        </w:rPr>
        <w:t>年初预算</w:t>
      </w:r>
      <w:r>
        <w:rPr>
          <w:rFonts w:hint="eastAsia" w:ascii="仿宋_GB2312" w:hAnsi="仿宋_GB2312" w:cs="仿宋_GB2312"/>
          <w:u w:color="auto"/>
          <w:lang w:eastAsia="zh"/>
          <w:woUserID w:val="4"/>
        </w:rPr>
        <w:t>数持平</w:t>
      </w:r>
      <w:r>
        <w:rPr>
          <w:rFonts w:ascii="仿宋_GB2312" w:hAnsi="仿宋_GB2312" w:cs="仿宋_GB2312"/>
          <w:u w:color="auto"/>
        </w:rPr>
        <w:t>，同比</w:t>
      </w:r>
      <w:r>
        <w:rPr>
          <w:rFonts w:hint="eastAsia" w:ascii="仿宋_GB2312" w:hAnsi="仿宋_GB2312" w:cs="仿宋_GB2312"/>
          <w:u w:color="auto"/>
          <w:lang w:eastAsia="zh"/>
          <w:woUserID w:val="4"/>
        </w:rPr>
        <w:t>无增减</w:t>
      </w:r>
      <w:r>
        <w:rPr>
          <w:rFonts w:ascii="仿宋_GB2312" w:hAnsi="仿宋_GB2312" w:cs="仿宋_GB2312"/>
          <w:u w:color="auto"/>
        </w:rPr>
        <w:t>。</w:t>
      </w:r>
    </w:p>
    <w:p w14:paraId="02135191">
      <w:pPr>
        <w:numPr>
          <w:ilvl w:val="0"/>
          <w:numId w:val="0"/>
        </w:numPr>
        <w:spacing w:line="550" w:lineRule="exact"/>
        <w:ind w:firstLine="640" w:firstLineChars="200"/>
        <w:jc w:val="left"/>
        <w:rPr>
          <w:rFonts w:hint="eastAsia" w:ascii="仿宋_GB2312"/>
          <w:b w:val="0"/>
          <w:bCs w:val="0"/>
          <w:color w:val="000000"/>
          <w:szCs w:val="32"/>
        </w:rPr>
      </w:pPr>
      <w:r>
        <w:rPr>
          <w:rFonts w:hint="eastAsia" w:ascii="仿宋_GB2312" w:hAnsi="Times New Roman" w:cs="Times New Roman"/>
          <w:szCs w:val="32"/>
          <w:lang w:val="en-US" w:eastAsia="zh-CN"/>
        </w:rPr>
        <w:t>1.</w:t>
      </w:r>
      <w:r>
        <w:rPr>
          <w:rFonts w:hint="eastAsia" w:ascii="仿宋_GB2312"/>
          <w:b w:val="0"/>
          <w:bCs w:val="0"/>
          <w:color w:val="000000"/>
          <w:szCs w:val="32"/>
        </w:rPr>
        <w:t>公务用车购置费202</w:t>
      </w:r>
      <w:r>
        <w:rPr>
          <w:rFonts w:hint="eastAsia" w:ascii="仿宋_GB2312"/>
          <w:b w:val="0"/>
          <w:bCs w:val="0"/>
          <w:color w:val="000000"/>
          <w:szCs w:val="32"/>
          <w:lang w:val="en-US" w:eastAsia="zh-CN"/>
        </w:rPr>
        <w:t>4</w:t>
      </w:r>
      <w:r>
        <w:rPr>
          <w:rFonts w:hint="eastAsia" w:ascii="仿宋_GB2312"/>
          <w:b w:val="0"/>
          <w:bCs w:val="0"/>
          <w:color w:val="000000"/>
          <w:szCs w:val="32"/>
        </w:rPr>
        <w:t>度</w:t>
      </w:r>
      <w:r>
        <w:rPr>
          <w:rFonts w:hint="eastAsia" w:ascii="仿宋_GB2312"/>
          <w:b w:val="0"/>
          <w:bCs w:val="0"/>
          <w:color w:val="000000"/>
          <w:szCs w:val="32"/>
          <w:lang w:eastAsia="zh-CN"/>
        </w:rPr>
        <w:t>无支出</w:t>
      </w:r>
      <w:r>
        <w:rPr>
          <w:rFonts w:hint="eastAsia" w:ascii="仿宋_GB2312"/>
          <w:b w:val="0"/>
          <w:bCs w:val="0"/>
          <w:color w:val="000000"/>
          <w:szCs w:val="32"/>
          <w:lang w:val="en-US" w:eastAsia="zh-CN"/>
        </w:rPr>
        <w:t>，</w:t>
      </w:r>
      <w:r>
        <w:rPr>
          <w:rFonts w:hint="eastAsia" w:ascii="仿宋_GB2312"/>
          <w:b w:val="0"/>
          <w:bCs w:val="0"/>
          <w:color w:val="000000"/>
          <w:szCs w:val="32"/>
        </w:rPr>
        <w:t>202</w:t>
      </w:r>
      <w:r>
        <w:rPr>
          <w:rFonts w:hint="eastAsia" w:ascii="仿宋_GB2312"/>
          <w:b w:val="0"/>
          <w:bCs w:val="0"/>
          <w:color w:val="000000"/>
          <w:szCs w:val="32"/>
          <w:lang w:val="en-US" w:eastAsia="zh-CN"/>
        </w:rPr>
        <w:t>4</w:t>
      </w:r>
      <w:r>
        <w:rPr>
          <w:rFonts w:hint="eastAsia" w:ascii="仿宋_GB2312"/>
          <w:b w:val="0"/>
          <w:bCs w:val="0"/>
          <w:color w:val="000000"/>
          <w:szCs w:val="32"/>
        </w:rPr>
        <w:t>年末本单位财政拨款开支的公车保有量为</w:t>
      </w:r>
      <w:r>
        <w:rPr>
          <w:rFonts w:hint="eastAsia" w:ascii="仿宋_GB2312"/>
          <w:b w:val="0"/>
          <w:bCs w:val="0"/>
          <w:color w:val="000000"/>
          <w:szCs w:val="32"/>
          <w:lang w:eastAsia="zh"/>
          <w:woUserID w:val="1"/>
        </w:rPr>
        <w:t>0</w:t>
      </w:r>
      <w:r>
        <w:rPr>
          <w:rFonts w:hint="eastAsia" w:ascii="仿宋_GB2312"/>
          <w:b w:val="0"/>
          <w:bCs w:val="0"/>
          <w:color w:val="000000"/>
          <w:szCs w:val="32"/>
        </w:rPr>
        <w:t>辆。</w:t>
      </w:r>
    </w:p>
    <w:p w14:paraId="0B418BB0">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从预决算执行情况来看，2024年度公务用车购置费支出决算数与年初预算数存有差异的主要原因是：</w:t>
      </w:r>
      <w:r>
        <w:rPr>
          <w:rFonts w:hint="eastAsia" w:ascii="仿宋_GB2312" w:cs="Times New Roman"/>
          <w:szCs w:val="32"/>
          <w:lang w:val="en-US" w:eastAsia="zh"/>
          <w:woUserID w:val="4"/>
        </w:rPr>
        <w:t>与年初预算数持平</w:t>
      </w:r>
      <w:r>
        <w:rPr>
          <w:rFonts w:hint="eastAsia" w:ascii="仿宋_GB2312" w:hAnsi="Times New Roman" w:cs="Times New Roman"/>
          <w:szCs w:val="32"/>
          <w:lang w:val="en-US" w:eastAsia="zh-CN"/>
        </w:rPr>
        <w:t>。</w:t>
      </w:r>
    </w:p>
    <w:p w14:paraId="34386298">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从上下年增减变动情况来看，2024年度公务用车购置费支出决算数与2023年度决算数存有增减变动的主要原因是：</w:t>
      </w:r>
      <w:r>
        <w:rPr>
          <w:rFonts w:hint="eastAsia" w:ascii="仿宋_GB2312" w:cs="Times New Roman"/>
          <w:szCs w:val="32"/>
          <w:lang w:val="en-US" w:eastAsia="zh"/>
          <w:woUserID w:val="4"/>
        </w:rPr>
        <w:t>同比无增减</w:t>
      </w:r>
      <w:r>
        <w:rPr>
          <w:rFonts w:hint="eastAsia" w:ascii="仿宋_GB2312" w:hAnsi="Times New Roman" w:cs="Times New Roman"/>
          <w:szCs w:val="32"/>
          <w:lang w:val="en-US" w:eastAsia="zh-CN"/>
        </w:rPr>
        <w:t>。</w:t>
      </w:r>
    </w:p>
    <w:p w14:paraId="4819EB56">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2.公务用车运行维护费2024年度支出</w:t>
      </w:r>
      <w:r>
        <w:rPr>
          <w:rFonts w:ascii="仿宋_GB2312" w:hAnsi="仿宋_GB2312" w:cs="仿宋_GB2312"/>
          <w:u w:color="auto"/>
        </w:rPr>
        <w:t>0.00万元，</w:t>
      </w:r>
      <w:r>
        <w:rPr>
          <w:rFonts w:hint="eastAsia" w:ascii="仿宋_GB2312" w:hAnsi="仿宋_GB2312" w:cs="仿宋_GB2312"/>
          <w:u w:color="auto"/>
          <w:lang w:eastAsia="zh"/>
          <w:woUserID w:val="4"/>
        </w:rPr>
        <w:t>与</w:t>
      </w:r>
      <w:r>
        <w:rPr>
          <w:rFonts w:ascii="仿宋_GB2312" w:hAnsi="仿宋_GB2312" w:cs="仿宋_GB2312"/>
          <w:u w:color="auto"/>
        </w:rPr>
        <w:t>年初预算</w:t>
      </w:r>
      <w:r>
        <w:rPr>
          <w:rFonts w:hint="eastAsia" w:ascii="仿宋_GB2312" w:hAnsi="仿宋_GB2312" w:cs="仿宋_GB2312"/>
          <w:u w:color="auto"/>
          <w:lang w:eastAsia="zh"/>
          <w:woUserID w:val="4"/>
        </w:rPr>
        <w:t>数持平</w:t>
      </w:r>
      <w:r>
        <w:rPr>
          <w:rFonts w:ascii="仿宋_GB2312" w:hAnsi="仿宋_GB2312" w:cs="仿宋_GB2312"/>
          <w:u w:color="auto"/>
        </w:rPr>
        <w:t>，同比</w:t>
      </w:r>
      <w:r>
        <w:rPr>
          <w:rFonts w:hint="eastAsia" w:ascii="仿宋_GB2312" w:hAnsi="仿宋_GB2312" w:cs="仿宋_GB2312"/>
          <w:u w:color="auto"/>
          <w:lang w:eastAsia="zh"/>
          <w:woUserID w:val="4"/>
        </w:rPr>
        <w:t>无增减</w:t>
      </w:r>
      <w:r>
        <w:rPr>
          <w:rFonts w:ascii="仿宋_GB2312" w:hAnsi="仿宋_GB2312" w:cs="仿宋_GB2312"/>
          <w:u w:color="auto"/>
        </w:rPr>
        <w:t>。</w:t>
      </w:r>
    </w:p>
    <w:p w14:paraId="524BD903">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从预决算执行情况来看，2024年度公务用车运行维护费支出决算数与年初预算数存有差异的主要原因是：</w:t>
      </w:r>
      <w:r>
        <w:rPr>
          <w:rFonts w:hint="eastAsia" w:ascii="仿宋_GB2312" w:cs="Times New Roman"/>
          <w:szCs w:val="32"/>
          <w:lang w:val="en-US" w:eastAsia="zh"/>
          <w:woUserID w:val="4"/>
        </w:rPr>
        <w:t>与年初预算数持平</w:t>
      </w:r>
      <w:r>
        <w:rPr>
          <w:rFonts w:hint="eastAsia" w:ascii="仿宋_GB2312" w:hAnsi="Times New Roman" w:cs="Times New Roman"/>
          <w:szCs w:val="32"/>
          <w:lang w:val="en-US" w:eastAsia="zh-CN"/>
        </w:rPr>
        <w:t>。</w:t>
      </w:r>
    </w:p>
    <w:p w14:paraId="092D1B81">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从上下年增减变动情况来看，2024年度公务用车运行维护费支出决算数与2023年度决算数存有增减变动的主要原因是：</w:t>
      </w:r>
      <w:r>
        <w:rPr>
          <w:rFonts w:hint="eastAsia" w:ascii="仿宋_GB2312" w:cs="Times New Roman"/>
          <w:szCs w:val="32"/>
          <w:lang w:val="en-US" w:eastAsia="zh"/>
          <w:woUserID w:val="4"/>
        </w:rPr>
        <w:t>同比无增减</w:t>
      </w:r>
      <w:r>
        <w:rPr>
          <w:rFonts w:hint="eastAsia" w:ascii="仿宋_GB2312" w:hAnsi="Times New Roman" w:cs="Times New Roman"/>
          <w:szCs w:val="32"/>
          <w:lang w:val="en-US" w:eastAsia="zh-CN"/>
        </w:rPr>
        <w:t>。</w:t>
      </w:r>
    </w:p>
    <w:p w14:paraId="148F76C0">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（三）2024年度公务接待费支出</w:t>
      </w:r>
      <w:r>
        <w:rPr>
          <w:rFonts w:ascii="仿宋_GB2312" w:hAnsi="仿宋_GB2312" w:cs="仿宋_GB2312"/>
          <w:u w:color="auto"/>
        </w:rPr>
        <w:t>0.12万元，完成年初预算的80.00%，同比增长50.00%。主要用于接待来督查调研的上级部门人员。据统计,2024年本单位公务接待共2个批次、共计11人。其中：国内公务接待0个批次、0人，国（境）外公务接待0个批次、0人。</w:t>
      </w:r>
    </w:p>
    <w:p w14:paraId="78232FDB">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从预决算执行情况来看，2024年度公务接待支出决算数与年初预算数存有差异的主要原因是：严格控制公务接待费支出。</w:t>
      </w:r>
    </w:p>
    <w:p w14:paraId="4414C5AA">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从上下年增减变动情况来看，2024年度公务接待支出决算数与2023年度决算数存在增减变动的主要原因是：公务接待次数和人数比上年增多。</w:t>
      </w:r>
    </w:p>
    <w:p w14:paraId="35EE4E7D">
      <w:pPr>
        <w:autoSpaceDE w:val="0"/>
        <w:autoSpaceDN w:val="0"/>
        <w:adjustRightInd w:val="0"/>
        <w:ind w:left="0" w:leftChars="0" w:firstLine="0" w:firstLineChars="0"/>
        <w:jc w:val="left"/>
        <w:rPr>
          <w:rFonts w:hint="eastAsia" w:ascii="仿宋_GB2312" w:cs="仿宋_GB2312"/>
          <w:kern w:val="0"/>
          <w:szCs w:val="32"/>
        </w:rPr>
      </w:pPr>
      <w:r>
        <w:br w:type="page"/>
      </w:r>
    </w:p>
    <w:p w14:paraId="65E7BBD9">
      <w:pPr>
        <w:spacing w:line="550" w:lineRule="exact"/>
        <w:jc w:val="left"/>
        <w:rPr>
          <w:rFonts w:hint="eastAsia" w:ascii="黑体" w:eastAsia="黑体"/>
          <w:szCs w:val="32"/>
        </w:rPr>
      </w:pPr>
      <w:r>
        <w:rPr>
          <w:rFonts w:hint="eastAsia" w:ascii="黑体" w:eastAsia="黑体"/>
          <w:szCs w:val="32"/>
        </w:rPr>
        <w:t>第三部分：202</w:t>
      </w:r>
      <w:r>
        <w:rPr>
          <w:rFonts w:hint="eastAsia" w:ascii="黑体" w:eastAsia="黑体"/>
          <w:szCs w:val="32"/>
          <w:lang w:val="en-US" w:eastAsia="zh-CN"/>
        </w:rPr>
        <w:t>4</w:t>
      </w:r>
      <w:r>
        <w:rPr>
          <w:rFonts w:hint="eastAsia" w:ascii="黑体" w:eastAsia="黑体"/>
          <w:szCs w:val="32"/>
        </w:rPr>
        <w:t>年度部门决算报表</w:t>
      </w:r>
    </w:p>
    <w:p w14:paraId="27D0DB31">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表一：收入支出决算总表</w:t>
      </w:r>
    </w:p>
    <w:p w14:paraId="61F598B4">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表二：收入决算表</w:t>
      </w:r>
    </w:p>
    <w:p w14:paraId="2013FBA8">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表三：支出决算表</w:t>
      </w:r>
    </w:p>
    <w:p w14:paraId="0522CAA4">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表四：财政拨款收入支出决算总表</w:t>
      </w:r>
    </w:p>
    <w:p w14:paraId="3778F4DF">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表五：一般公共预算财政拨款支出决算表</w:t>
      </w:r>
    </w:p>
    <w:p w14:paraId="0B5C4C92">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表六：一般公共预算财政拨款基本支出决算表</w:t>
      </w:r>
    </w:p>
    <w:p w14:paraId="60ACA7CA">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表七：政府性基金预算财政拨款收入支出决算表</w:t>
      </w:r>
    </w:p>
    <w:p w14:paraId="5FEFD02D">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表八：国有资本经营预算财政拨款收入支出决算表</w:t>
      </w:r>
    </w:p>
    <w:p w14:paraId="3186D4EE">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表九：财政拨款“三公”经费支出决算表</w:t>
      </w:r>
    </w:p>
    <w:p w14:paraId="1E1DDD17">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详见附件。</w:t>
      </w:r>
    </w:p>
    <w:p w14:paraId="244B0423">
      <w:pPr>
        <w:spacing w:line="550" w:lineRule="exact"/>
        <w:ind w:firstLine="720" w:firstLineChars="225"/>
        <w:jc w:val="center"/>
        <w:rPr>
          <w:rFonts w:hint="eastAsia" w:ascii="黑体" w:eastAsia="黑体" w:cs="仿宋_GB2312"/>
          <w:kern w:val="0"/>
          <w:szCs w:val="32"/>
        </w:rPr>
      </w:pPr>
      <w:r>
        <w:br w:type="page"/>
      </w:r>
      <w:r>
        <w:rPr>
          <w:rFonts w:hint="eastAsia" w:ascii="黑体" w:eastAsia="黑体" w:cs="仿宋_GB2312"/>
          <w:kern w:val="0"/>
          <w:szCs w:val="32"/>
          <w:lang w:eastAsia="zh-CN"/>
        </w:rPr>
        <w:t>第四部分：</w:t>
      </w:r>
      <w:r>
        <w:rPr>
          <w:rFonts w:hint="eastAsia" w:ascii="黑体" w:eastAsia="黑体" w:cs="仿宋_GB2312"/>
          <w:kern w:val="0"/>
          <w:szCs w:val="32"/>
        </w:rPr>
        <w:t>其他重要事项情况说明</w:t>
      </w:r>
    </w:p>
    <w:p w14:paraId="3B5A272C">
      <w:pPr>
        <w:autoSpaceDE w:val="0"/>
        <w:autoSpaceDN w:val="0"/>
        <w:adjustRightInd w:val="0"/>
        <w:spacing w:line="550" w:lineRule="exact"/>
        <w:ind w:firstLine="640"/>
        <w:jc w:val="left"/>
        <w:rPr>
          <w:rFonts w:hint="eastAsia" w:ascii="楷体_GB2312" w:eastAsia="楷体_GB2312" w:cs="仿宋_GB2312"/>
          <w:kern w:val="0"/>
          <w:szCs w:val="32"/>
        </w:rPr>
      </w:pPr>
      <w:r>
        <w:rPr>
          <w:rFonts w:hint="eastAsia" w:ascii="楷体_GB2312" w:eastAsia="楷体_GB2312" w:cs="仿宋_GB2312"/>
          <w:kern w:val="0"/>
          <w:szCs w:val="32"/>
        </w:rPr>
        <w:t>一</w:t>
      </w:r>
      <w:r>
        <w:rPr>
          <w:rFonts w:hint="eastAsia" w:ascii="楷体_GB2312" w:eastAsia="楷体_GB2312" w:cs="仿宋_GB2312"/>
          <w:kern w:val="0"/>
          <w:szCs w:val="32"/>
          <w:lang w:eastAsia="zh-CN"/>
        </w:rPr>
        <w:t>、</w:t>
      </w:r>
      <w:r>
        <w:rPr>
          <w:rFonts w:hint="eastAsia" w:ascii="楷体_GB2312" w:eastAsia="楷体_GB2312" w:cs="仿宋_GB2312"/>
          <w:kern w:val="0"/>
          <w:szCs w:val="32"/>
        </w:rPr>
        <w:t>机关运行经费支出情况说明。</w:t>
      </w:r>
    </w:p>
    <w:p w14:paraId="5A76B191">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钦州市地方志编纂委员会办公室</w:t>
      </w:r>
      <w:r>
        <w:rPr>
          <w:rFonts w:ascii="仿宋_GB2312" w:hAnsi="仿宋_GB2312" w:cs="仿宋_GB2312"/>
          <w:u w:color="auto"/>
        </w:rPr>
        <w:t>2024年度机关运行经费支出28.09万元，比2023年度下降3.93%。主要原因是：出差和外出培训减少。</w:t>
      </w:r>
    </w:p>
    <w:p w14:paraId="3069EEED">
      <w:pPr>
        <w:autoSpaceDE w:val="0"/>
        <w:autoSpaceDN w:val="0"/>
        <w:adjustRightInd w:val="0"/>
        <w:spacing w:line="550" w:lineRule="exact"/>
        <w:ind w:firstLine="640"/>
        <w:jc w:val="left"/>
        <w:outlineLvl w:val="0"/>
        <w:rPr>
          <w:rFonts w:hint="eastAsia" w:ascii="楷体_GB2312" w:eastAsia="楷体_GB2312" w:cs="仿宋_GB2312"/>
          <w:kern w:val="0"/>
          <w:szCs w:val="32"/>
        </w:rPr>
      </w:pPr>
      <w:r>
        <w:rPr>
          <w:rFonts w:hint="eastAsia" w:ascii="楷体_GB2312" w:eastAsia="楷体_GB2312" w:cs="仿宋_GB2312"/>
          <w:kern w:val="0"/>
          <w:szCs w:val="32"/>
        </w:rPr>
        <w:t>二</w:t>
      </w:r>
      <w:r>
        <w:rPr>
          <w:rFonts w:hint="eastAsia" w:ascii="楷体_GB2312" w:eastAsia="楷体_GB2312" w:cs="仿宋_GB2312"/>
          <w:kern w:val="0"/>
          <w:szCs w:val="32"/>
          <w:lang w:eastAsia="zh-CN"/>
        </w:rPr>
        <w:t>、</w:t>
      </w:r>
      <w:r>
        <w:rPr>
          <w:rFonts w:hint="eastAsia" w:ascii="楷体_GB2312" w:eastAsia="楷体_GB2312" w:cs="仿宋_GB2312"/>
          <w:kern w:val="0"/>
          <w:szCs w:val="32"/>
        </w:rPr>
        <w:t>政府采购支出情况说明。</w:t>
      </w:r>
    </w:p>
    <w:p w14:paraId="6F04033C">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钦州市地方志编纂委员会办公室</w:t>
      </w:r>
      <w:r>
        <w:rPr>
          <w:rFonts w:ascii="仿宋_GB2312" w:hAnsi="仿宋_GB2312" w:cs="仿宋_GB2312"/>
          <w:u w:color="auto"/>
        </w:rPr>
        <w:t>2024年度政府采购支出总额0.57万元，其中：政府采购货物支出0.57万元、政府采购工程支出0.00万元、政府采购服务支出0.00万元。政府采购授予中小企业合同金额0.57万元，占政府采购支出总额的100.00%，其中：授予小微企业合同金额0.57万元，占政府采购支出总额的100.00%。</w:t>
      </w:r>
    </w:p>
    <w:p w14:paraId="0F32BA45">
      <w:pPr>
        <w:autoSpaceDE w:val="0"/>
        <w:autoSpaceDN w:val="0"/>
        <w:adjustRightInd w:val="0"/>
        <w:spacing w:line="550" w:lineRule="exact"/>
        <w:ind w:firstLine="640"/>
        <w:jc w:val="left"/>
        <w:outlineLvl w:val="0"/>
        <w:rPr>
          <w:rFonts w:hint="eastAsia" w:ascii="楷体_GB2312" w:eastAsia="楷体_GB2312" w:cs="仿宋_GB2312"/>
          <w:kern w:val="0"/>
          <w:szCs w:val="32"/>
          <w:lang w:eastAsia="zh-CN"/>
        </w:rPr>
      </w:pPr>
      <w:r>
        <w:rPr>
          <w:rFonts w:hint="eastAsia" w:ascii="楷体_GB2312" w:eastAsia="楷体_GB2312" w:cs="仿宋_GB2312"/>
          <w:kern w:val="0"/>
          <w:szCs w:val="32"/>
        </w:rPr>
        <w:t>三</w:t>
      </w:r>
      <w:r>
        <w:rPr>
          <w:rFonts w:hint="eastAsia" w:ascii="楷体_GB2312" w:eastAsia="楷体_GB2312" w:cs="仿宋_GB2312"/>
          <w:kern w:val="0"/>
          <w:szCs w:val="32"/>
          <w:lang w:eastAsia="zh-CN"/>
        </w:rPr>
        <w:t>、</w:t>
      </w:r>
      <w:r>
        <w:rPr>
          <w:rFonts w:hint="eastAsia" w:ascii="楷体_GB2312" w:eastAsia="楷体_GB2312" w:cs="仿宋_GB2312"/>
          <w:kern w:val="0"/>
          <w:szCs w:val="32"/>
        </w:rPr>
        <w:t>国有资产占用情况说明。</w:t>
      </w:r>
    </w:p>
    <w:p w14:paraId="7B2EC829">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截至2024年12月31日，</w:t>
      </w:r>
      <w:r>
        <w:rPr>
          <w:rFonts w:ascii="仿宋_GB2312" w:hAnsi="仿宋_GB2312" w:cs="仿宋_GB2312"/>
          <w:u w:color="auto"/>
        </w:rPr>
        <w:t>钦州市地方志编纂委员会办公室共有车辆0辆。其中：副部（省）级及以上领导用车0辆、主要负责人用车0辆、机要通信用车0辆、应急保障用车0辆、执法执勤用车0辆、特种专业技术用车0辆、离退休干部服务用车0辆、其他用车0辆；单价100万元（含）以上的设备（不含车辆）0台（套）。</w:t>
      </w:r>
    </w:p>
    <w:p w14:paraId="5DDAFC31">
      <w:pPr>
        <w:autoSpaceDE w:val="0"/>
        <w:autoSpaceDN w:val="0"/>
        <w:adjustRightInd w:val="0"/>
        <w:spacing w:line="550" w:lineRule="exact"/>
        <w:ind w:firstLine="640"/>
        <w:jc w:val="left"/>
        <w:rPr>
          <w:rFonts w:hint="eastAsia" w:ascii="楷体_GB2312" w:hAnsi="Times New Roman" w:eastAsia="楷体_GB2312" w:cs="仿宋_GB2312"/>
          <w:kern w:val="0"/>
          <w:szCs w:val="32"/>
        </w:rPr>
      </w:pPr>
      <w:r>
        <w:rPr>
          <w:rFonts w:hint="eastAsia" w:ascii="楷体_GB2312" w:hAnsi="Times New Roman" w:eastAsia="楷体_GB2312" w:cs="仿宋_GB2312"/>
          <w:kern w:val="0"/>
          <w:szCs w:val="32"/>
        </w:rPr>
        <w:t>四</w:t>
      </w:r>
      <w:r>
        <w:rPr>
          <w:rFonts w:hint="eastAsia" w:ascii="楷体_GB2312" w:hAnsi="Times New Roman" w:eastAsia="楷体_GB2312" w:cs="仿宋_GB2312"/>
          <w:kern w:val="0"/>
          <w:szCs w:val="32"/>
          <w:lang w:eastAsia="zh-CN"/>
        </w:rPr>
        <w:t>、</w:t>
      </w:r>
      <w:r>
        <w:rPr>
          <w:rFonts w:hint="eastAsia" w:ascii="楷体_GB2312" w:hAnsi="Times New Roman" w:eastAsia="楷体_GB2312" w:cs="仿宋_GB2312"/>
          <w:kern w:val="0"/>
          <w:szCs w:val="32"/>
        </w:rPr>
        <w:t>预算绩效管理工作开展情况。</w:t>
      </w:r>
    </w:p>
    <w:p w14:paraId="4987600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bCs/>
          <w:sz w:val="32"/>
          <w:szCs w:val="32"/>
          <w:highlight w:val="none"/>
          <w:lang w:val="en-US" w:eastAsia="zh-CN"/>
        </w:rPr>
      </w:pPr>
      <w:r>
        <w:rPr>
          <w:rFonts w:hint="eastAsia" w:ascii="仿宋_GB2312" w:hAnsi="Times New Roman" w:cs="Times New Roman"/>
          <w:szCs w:val="32"/>
          <w:lang w:val="en-US" w:eastAsia="zh-CN"/>
        </w:rPr>
        <w:t>（一）整体支出绩效自评结果。</w:t>
      </w:r>
    </w:p>
    <w:p w14:paraId="57EF5DE5">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left"/>
        <w:textAlignment w:val="auto"/>
        <w:rPr>
          <w:rFonts w:hint="eastAsia" w:ascii="仿宋_GB2312" w:hAnsi="仿宋_GB2312" w:eastAsia="仿宋_GB2312" w:cs="仿宋_GB2312"/>
          <w:sz w:val="32"/>
          <w:szCs w:val="32"/>
          <w:highlight w:val="none"/>
        </w:rPr>
      </w:pPr>
      <w:r>
        <w:rPr>
          <w:rFonts w:hint="eastAsia" w:ascii="仿宋_GB2312" w:hAnsi="仿宋_GB2312" w:cs="仿宋_GB2312"/>
          <w:color w:val="000000"/>
          <w:sz w:val="32"/>
          <w:szCs w:val="32"/>
          <w:highlight w:val="none"/>
          <w:lang w:val="en-US" w:eastAsia="zh-CN"/>
        </w:rPr>
        <w:t>本部门2024</w:t>
      </w:r>
      <w:r>
        <w:rPr>
          <w:rFonts w:hint="eastAsia" w:ascii="仿宋_GB2312" w:hAnsi="仿宋_GB2312" w:eastAsia="仿宋_GB2312" w:cs="仿宋_GB2312"/>
          <w:color w:val="000000"/>
          <w:sz w:val="32"/>
          <w:szCs w:val="32"/>
          <w:highlight w:val="none"/>
          <w:lang w:val="en-US" w:eastAsia="zh-CN"/>
        </w:rPr>
        <w:t>年度部门预算数339.76万元，执行数309.88万元。</w:t>
      </w:r>
      <w:r>
        <w:rPr>
          <w:rFonts w:hint="eastAsia" w:ascii="仿宋_GB2312" w:hAnsi="仿宋_GB2312" w:eastAsia="仿宋_GB2312" w:cs="仿宋_GB2312"/>
          <w:color w:val="000000"/>
          <w:sz w:val="32"/>
          <w:szCs w:val="32"/>
          <w:highlight w:val="none"/>
        </w:rPr>
        <w:t>自评得分为</w:t>
      </w:r>
      <w:r>
        <w:rPr>
          <w:rFonts w:hint="eastAsia" w:ascii="仿宋_GB2312" w:hAnsi="仿宋_GB2312" w:eastAsia="仿宋_GB2312" w:cs="仿宋_GB2312"/>
          <w:color w:val="000000"/>
          <w:sz w:val="32"/>
          <w:szCs w:val="32"/>
          <w:highlight w:val="none"/>
          <w:lang w:val="en-US" w:eastAsia="zh-CN"/>
        </w:rPr>
        <w:t>99.12</w:t>
      </w:r>
      <w:r>
        <w:rPr>
          <w:rFonts w:hint="eastAsia" w:ascii="仿宋_GB2312" w:hAnsi="仿宋_GB2312" w:eastAsia="仿宋_GB2312" w:cs="仿宋_GB2312"/>
          <w:color w:val="000000"/>
          <w:sz w:val="32"/>
          <w:szCs w:val="32"/>
          <w:highlight w:val="none"/>
        </w:rPr>
        <w:t>分，评级为</w:t>
      </w:r>
      <w:r>
        <w:rPr>
          <w:rFonts w:hint="eastAsia" w:ascii="仿宋_GB2312" w:hAnsi="仿宋_GB2312" w:eastAsia="仿宋_GB2312" w:cs="仿宋_GB2312"/>
          <w:color w:val="000000"/>
          <w:sz w:val="32"/>
          <w:szCs w:val="32"/>
          <w:highlight w:val="none"/>
          <w:lang w:val="en-US" w:eastAsia="zh-CN"/>
        </w:rPr>
        <w:t>一</w:t>
      </w:r>
      <w:r>
        <w:rPr>
          <w:rFonts w:hint="eastAsia" w:ascii="仿宋_GB2312" w:hAnsi="仿宋_GB2312" w:eastAsia="仿宋_GB2312" w:cs="仿宋_GB2312"/>
          <w:color w:val="000000"/>
          <w:sz w:val="32"/>
          <w:szCs w:val="32"/>
          <w:highlight w:val="none"/>
        </w:rPr>
        <w:t>等</w:t>
      </w:r>
      <w:r>
        <w:rPr>
          <w:rFonts w:hint="eastAsia" w:ascii="仿宋_GB2312" w:hAnsi="仿宋_GB2312" w:cs="仿宋_GB2312"/>
          <w:color w:val="000000"/>
          <w:sz w:val="32"/>
          <w:szCs w:val="32"/>
          <w:highlight w:val="none"/>
          <w:lang w:eastAsia="zh-CN"/>
        </w:rPr>
        <w:t>。</w:t>
      </w:r>
      <w:r>
        <w:rPr>
          <w:rFonts w:hint="eastAsia" w:ascii="仿宋_GB2312" w:hAnsi="仿宋_GB2312" w:eastAsia="仿宋_GB2312" w:cs="仿宋_GB2312"/>
          <w:color w:val="000000"/>
          <w:sz w:val="32"/>
          <w:szCs w:val="32"/>
          <w:highlight w:val="none"/>
          <w:lang w:val="en-US" w:eastAsia="zh-CN"/>
        </w:rPr>
        <w:t>从自评情况来看：资金的执行情况和绩效情况达到预期目标，项目目标完成情况良好，项目效益与预期目标符合，资金使用效益较好，项目绩效评价指标的实现程度良好</w:t>
      </w:r>
      <w:r>
        <w:rPr>
          <w:rFonts w:hint="eastAsia" w:ascii="仿宋_GB2312" w:hAnsi="仿宋_GB2312" w:cs="仿宋_GB2312"/>
          <w:color w:val="auto"/>
          <w:sz w:val="32"/>
          <w:szCs w:val="32"/>
          <w:highlight w:val="none"/>
          <w:lang w:val="en-US" w:eastAsia="zh-CN"/>
        </w:rPr>
        <w:t>。</w:t>
      </w:r>
    </w:p>
    <w:p w14:paraId="0EB4A85F">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（二）项目支出绩效自评结果。</w:t>
      </w:r>
    </w:p>
    <w:p w14:paraId="22A1F350">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Times New Roman" w:cs="Times New Roman"/>
          <w:szCs w:val="32"/>
          <w:lang w:val="en-US" w:eastAsia="zh-CN"/>
        </w:rPr>
        <w:t>1.项目绩效自评总体情况。</w:t>
      </w:r>
    </w:p>
    <w:p w14:paraId="3079EC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60" w:lineRule="exact"/>
        <w:ind w:left="0" w:right="0" w:firstLine="640" w:firstLineChars="200"/>
        <w:jc w:val="both"/>
        <w:textAlignment w:val="auto"/>
        <w:rPr>
          <w:rFonts w:hint="eastAsia" w:ascii="仿宋_GB2312" w:hAnsi="仿宋_GB2312" w:eastAsia="仿宋_GB2312" w:cs="仿宋_GB2312"/>
          <w:sz w:val="32"/>
          <w:szCs w:val="32"/>
          <w:highlight w:val="none"/>
          <w:woUserID w:val="5"/>
        </w:rPr>
      </w:pPr>
      <w:r>
        <w:rPr>
          <w:rFonts w:hint="eastAsia" w:ascii="仿宋_GB2312" w:hAnsi="仿宋_GB2312" w:cs="仿宋_GB2312"/>
          <w:sz w:val="32"/>
          <w:szCs w:val="32"/>
          <w:highlight w:val="none"/>
          <w:lang w:val="en-US" w:eastAsia="zh-CN"/>
        </w:rPr>
        <w:t>本部门</w:t>
      </w:r>
      <w:r>
        <w:rPr>
          <w:rFonts w:hint="eastAsia" w:ascii="仿宋_GB2312" w:hAnsi="仿宋_GB2312" w:eastAsia="仿宋_GB2312" w:cs="仿宋_GB2312"/>
          <w:sz w:val="32"/>
          <w:szCs w:val="32"/>
          <w:highlight w:val="none"/>
        </w:rPr>
        <w:t>202</w:t>
      </w:r>
      <w:r>
        <w:rPr>
          <w:rFonts w:hint="eastAsia" w:ascii="仿宋_GB2312" w:hAnsi="仿宋_GB2312" w:cs="仿宋_GB2312"/>
          <w:sz w:val="32"/>
          <w:szCs w:val="32"/>
          <w:highlight w:val="none"/>
          <w:lang w:val="en-US" w:eastAsia="zh-CN"/>
        </w:rPr>
        <w:t>4</w:t>
      </w:r>
      <w:r>
        <w:rPr>
          <w:rFonts w:hint="eastAsia" w:ascii="仿宋_GB2312" w:hAnsi="仿宋_GB2312" w:eastAsia="仿宋_GB2312" w:cs="仿宋_GB2312"/>
          <w:sz w:val="32"/>
          <w:szCs w:val="32"/>
          <w:highlight w:val="none"/>
        </w:rPr>
        <w:t>年度项目</w:t>
      </w:r>
      <w:r>
        <w:rPr>
          <w:rFonts w:hint="eastAsia" w:ascii="仿宋_GB2312" w:hAnsi="仿宋_GB2312" w:eastAsia="仿宋_GB2312" w:cs="仿宋_GB2312"/>
          <w:sz w:val="32"/>
          <w:szCs w:val="32"/>
          <w:highlight w:val="none"/>
          <w:lang w:val="en-US" w:eastAsia="zh-CN"/>
        </w:rPr>
        <w:t>12</w:t>
      </w:r>
      <w:r>
        <w:rPr>
          <w:rFonts w:hint="eastAsia" w:ascii="仿宋_GB2312" w:hAnsi="仿宋_GB2312" w:eastAsia="仿宋_GB2312" w:cs="仿宋_GB2312"/>
          <w:sz w:val="32"/>
          <w:szCs w:val="32"/>
          <w:highlight w:val="none"/>
        </w:rPr>
        <w:t>个，项目支出总额</w:t>
      </w:r>
      <w:r>
        <w:rPr>
          <w:rFonts w:hint="eastAsia" w:ascii="仿宋_GB2312" w:hAnsi="仿宋_GB2312" w:eastAsia="仿宋_GB2312" w:cs="仿宋_GB2312"/>
          <w:sz w:val="32"/>
          <w:szCs w:val="32"/>
          <w:highlight w:val="none"/>
          <w:lang w:val="en-US" w:eastAsia="zh-CN"/>
        </w:rPr>
        <w:t>41.41</w:t>
      </w:r>
      <w:r>
        <w:rPr>
          <w:rFonts w:hint="eastAsia" w:ascii="仿宋_GB2312" w:hAnsi="仿宋_GB2312" w:eastAsia="仿宋_GB2312" w:cs="仿宋_GB2312"/>
          <w:sz w:val="32"/>
          <w:szCs w:val="32"/>
          <w:highlight w:val="none"/>
        </w:rPr>
        <w:t>万元。所有项目均开展了绩效自评，其中绩效自评结果为：</w:t>
      </w:r>
      <w:r>
        <w:rPr>
          <w:rFonts w:hint="eastAsia" w:ascii="仿宋_GB2312" w:hAnsi="仿宋_GB2312" w:eastAsia="仿宋_GB2312" w:cs="仿宋_GB2312"/>
          <w:sz w:val="32"/>
          <w:szCs w:val="32"/>
          <w:highlight w:val="none"/>
          <w:lang w:val="en-US" w:eastAsia="zh-CN"/>
        </w:rPr>
        <w:t>12</w:t>
      </w:r>
      <w:r>
        <w:rPr>
          <w:rFonts w:hint="eastAsia" w:ascii="仿宋_GB2312" w:hAnsi="仿宋_GB2312" w:eastAsia="仿宋_GB2312" w:cs="仿宋_GB2312"/>
          <w:sz w:val="32"/>
          <w:szCs w:val="32"/>
          <w:highlight w:val="none"/>
        </w:rPr>
        <w:t>个项目评为一等，涉及资金</w:t>
      </w:r>
      <w:r>
        <w:rPr>
          <w:rFonts w:hint="eastAsia" w:ascii="仿宋_GB2312" w:hAnsi="仿宋_GB2312" w:eastAsia="仿宋_GB2312" w:cs="仿宋_GB2312"/>
          <w:sz w:val="32"/>
          <w:szCs w:val="32"/>
          <w:highlight w:val="none"/>
          <w:lang w:val="en-US" w:eastAsia="zh-CN"/>
        </w:rPr>
        <w:t>41.41</w:t>
      </w:r>
      <w:r>
        <w:rPr>
          <w:rFonts w:hint="eastAsia" w:ascii="仿宋_GB2312" w:hAnsi="仿宋_GB2312" w:eastAsia="仿宋_GB2312" w:cs="仿宋_GB2312"/>
          <w:sz w:val="32"/>
          <w:szCs w:val="32"/>
          <w:highlight w:val="none"/>
        </w:rPr>
        <w:t>万元，占项目总数比例</w:t>
      </w:r>
      <w:r>
        <w:rPr>
          <w:rFonts w:hint="eastAsia" w:ascii="仿宋_GB2312" w:hAnsi="仿宋_GB2312" w:eastAsia="仿宋_GB2312" w:cs="仿宋_GB2312"/>
          <w:sz w:val="32"/>
          <w:szCs w:val="32"/>
          <w:highlight w:val="none"/>
          <w:lang w:val="en-US" w:eastAsia="zh-CN"/>
        </w:rPr>
        <w:t>100</w:t>
      </w:r>
      <w:r>
        <w:rPr>
          <w:rFonts w:hint="eastAsia" w:ascii="仿宋_GB2312" w:hAnsi="仿宋_GB2312" w:eastAsia="仿宋_GB2312" w:cs="仿宋_GB2312"/>
          <w:sz w:val="32"/>
          <w:szCs w:val="32"/>
          <w:highlight w:val="none"/>
        </w:rPr>
        <w:t>%，占项目支出总额比例</w:t>
      </w:r>
      <w:r>
        <w:rPr>
          <w:rFonts w:hint="eastAsia" w:ascii="仿宋_GB2312" w:hAnsi="仿宋_GB2312" w:eastAsia="仿宋_GB2312" w:cs="仿宋_GB2312"/>
          <w:sz w:val="32"/>
          <w:szCs w:val="32"/>
          <w:highlight w:val="none"/>
          <w:lang w:val="en-US" w:eastAsia="zh-CN"/>
        </w:rPr>
        <w:t>100</w:t>
      </w: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sz w:val="32"/>
          <w:szCs w:val="32"/>
          <w:highlight w:val="none"/>
          <w:lang w:val="en-US" w:eastAsia="zh-CN"/>
        </w:rPr>
        <w:t>0</w:t>
      </w:r>
      <w:r>
        <w:rPr>
          <w:rFonts w:hint="eastAsia" w:ascii="仿宋_GB2312" w:hAnsi="仿宋_GB2312" w:eastAsia="仿宋_GB2312" w:cs="仿宋_GB2312"/>
          <w:sz w:val="32"/>
          <w:szCs w:val="32"/>
          <w:highlight w:val="none"/>
        </w:rPr>
        <w:t>个项目评为二等，涉及资金</w:t>
      </w:r>
      <w:r>
        <w:rPr>
          <w:rFonts w:hint="eastAsia" w:ascii="仿宋_GB2312" w:hAnsi="仿宋_GB2312" w:eastAsia="仿宋_GB2312" w:cs="仿宋_GB2312"/>
          <w:sz w:val="32"/>
          <w:szCs w:val="32"/>
          <w:highlight w:val="none"/>
          <w:lang w:val="en-US" w:eastAsia="zh-CN"/>
        </w:rPr>
        <w:t>0</w:t>
      </w:r>
      <w:r>
        <w:rPr>
          <w:rFonts w:hint="eastAsia" w:ascii="仿宋_GB2312" w:hAnsi="仿宋_GB2312" w:eastAsia="仿宋_GB2312" w:cs="仿宋_GB2312"/>
          <w:sz w:val="32"/>
          <w:szCs w:val="32"/>
          <w:highlight w:val="none"/>
        </w:rPr>
        <w:t>万元，占项目总数比例</w:t>
      </w:r>
      <w:r>
        <w:rPr>
          <w:rFonts w:hint="eastAsia" w:ascii="仿宋_GB2312" w:hAnsi="仿宋_GB2312" w:eastAsia="仿宋_GB2312" w:cs="仿宋_GB2312"/>
          <w:sz w:val="32"/>
          <w:szCs w:val="32"/>
          <w:highlight w:val="none"/>
          <w:lang w:val="en-US" w:eastAsia="zh-CN"/>
        </w:rPr>
        <w:t>0</w:t>
      </w:r>
      <w:r>
        <w:rPr>
          <w:rFonts w:hint="eastAsia" w:ascii="仿宋_GB2312" w:hAnsi="仿宋_GB2312" w:eastAsia="仿宋_GB2312" w:cs="仿宋_GB2312"/>
          <w:sz w:val="32"/>
          <w:szCs w:val="32"/>
          <w:highlight w:val="none"/>
        </w:rPr>
        <w:t>%，占项目支出总额比例</w:t>
      </w:r>
      <w:r>
        <w:rPr>
          <w:rFonts w:hint="eastAsia" w:ascii="仿宋_GB2312" w:hAnsi="仿宋_GB2312" w:eastAsia="仿宋_GB2312" w:cs="仿宋_GB2312"/>
          <w:sz w:val="32"/>
          <w:szCs w:val="32"/>
          <w:highlight w:val="none"/>
          <w:lang w:val="en-US" w:eastAsia="zh-CN"/>
        </w:rPr>
        <w:t>0</w:t>
      </w: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sz w:val="32"/>
          <w:szCs w:val="32"/>
          <w:highlight w:val="none"/>
          <w:lang w:val="en-US" w:eastAsia="zh-CN"/>
        </w:rPr>
        <w:t>0</w:t>
      </w:r>
      <w:r>
        <w:rPr>
          <w:rFonts w:hint="eastAsia" w:ascii="仿宋_GB2312" w:hAnsi="仿宋_GB2312" w:eastAsia="仿宋_GB2312" w:cs="仿宋_GB2312"/>
          <w:sz w:val="32"/>
          <w:szCs w:val="32"/>
          <w:highlight w:val="none"/>
        </w:rPr>
        <w:t>个项目评为</w:t>
      </w:r>
      <w:r>
        <w:rPr>
          <w:rFonts w:hint="eastAsia" w:ascii="仿宋_GB2312" w:hAnsi="仿宋_GB2312" w:cs="仿宋_GB2312"/>
          <w:sz w:val="32"/>
          <w:szCs w:val="32"/>
          <w:highlight w:val="none"/>
          <w:lang w:eastAsia="zh-CN"/>
        </w:rPr>
        <w:t>三</w:t>
      </w:r>
      <w:r>
        <w:rPr>
          <w:rFonts w:hint="eastAsia" w:ascii="仿宋_GB2312" w:hAnsi="仿宋_GB2312" w:eastAsia="仿宋_GB2312" w:cs="仿宋_GB2312"/>
          <w:sz w:val="32"/>
          <w:szCs w:val="32"/>
          <w:highlight w:val="none"/>
        </w:rPr>
        <w:t>等，涉及资金</w:t>
      </w:r>
      <w:r>
        <w:rPr>
          <w:rFonts w:hint="eastAsia" w:ascii="仿宋_GB2312" w:hAnsi="仿宋_GB2312" w:eastAsia="仿宋_GB2312" w:cs="仿宋_GB2312"/>
          <w:sz w:val="32"/>
          <w:szCs w:val="32"/>
          <w:highlight w:val="none"/>
          <w:lang w:val="en-US" w:eastAsia="zh-CN"/>
        </w:rPr>
        <w:t>0</w:t>
      </w:r>
      <w:r>
        <w:rPr>
          <w:rFonts w:hint="eastAsia" w:ascii="仿宋_GB2312" w:hAnsi="仿宋_GB2312" w:eastAsia="仿宋_GB2312" w:cs="仿宋_GB2312"/>
          <w:sz w:val="32"/>
          <w:szCs w:val="32"/>
          <w:highlight w:val="none"/>
        </w:rPr>
        <w:t>万元，占项目总数比例</w:t>
      </w:r>
      <w:r>
        <w:rPr>
          <w:rFonts w:hint="eastAsia" w:ascii="仿宋_GB2312" w:hAnsi="仿宋_GB2312" w:eastAsia="仿宋_GB2312" w:cs="仿宋_GB2312"/>
          <w:sz w:val="32"/>
          <w:szCs w:val="32"/>
          <w:highlight w:val="none"/>
          <w:lang w:val="en-US" w:eastAsia="zh-CN"/>
        </w:rPr>
        <w:t>0</w:t>
      </w:r>
      <w:r>
        <w:rPr>
          <w:rFonts w:hint="eastAsia" w:ascii="仿宋_GB2312" w:hAnsi="仿宋_GB2312" w:eastAsia="仿宋_GB2312" w:cs="仿宋_GB2312"/>
          <w:sz w:val="32"/>
          <w:szCs w:val="32"/>
          <w:highlight w:val="none"/>
        </w:rPr>
        <w:t>%，占项目支出总额比例</w:t>
      </w:r>
      <w:r>
        <w:rPr>
          <w:rFonts w:hint="eastAsia" w:ascii="仿宋_GB2312" w:hAnsi="仿宋_GB2312" w:eastAsia="仿宋_GB2312" w:cs="仿宋_GB2312"/>
          <w:sz w:val="32"/>
          <w:szCs w:val="32"/>
          <w:highlight w:val="none"/>
          <w:lang w:val="en-US" w:eastAsia="zh-CN"/>
        </w:rPr>
        <w:t>0</w:t>
      </w: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sz w:val="32"/>
          <w:szCs w:val="32"/>
          <w:highlight w:val="none"/>
          <w:lang w:val="en-US" w:eastAsia="zh-CN"/>
        </w:rPr>
        <w:t>0</w:t>
      </w:r>
      <w:r>
        <w:rPr>
          <w:rFonts w:hint="eastAsia" w:ascii="仿宋_GB2312" w:hAnsi="仿宋_GB2312" w:eastAsia="仿宋_GB2312" w:cs="仿宋_GB2312"/>
          <w:sz w:val="32"/>
          <w:szCs w:val="32"/>
          <w:highlight w:val="none"/>
        </w:rPr>
        <w:t>个项目评为</w:t>
      </w:r>
      <w:r>
        <w:rPr>
          <w:rFonts w:hint="eastAsia" w:ascii="仿宋_GB2312" w:hAnsi="仿宋_GB2312" w:cs="仿宋_GB2312"/>
          <w:sz w:val="32"/>
          <w:szCs w:val="32"/>
          <w:highlight w:val="none"/>
          <w:lang w:eastAsia="zh-CN"/>
        </w:rPr>
        <w:t>四</w:t>
      </w:r>
      <w:r>
        <w:rPr>
          <w:rFonts w:hint="eastAsia" w:ascii="仿宋_GB2312" w:hAnsi="仿宋_GB2312" w:eastAsia="仿宋_GB2312" w:cs="仿宋_GB2312"/>
          <w:sz w:val="32"/>
          <w:szCs w:val="32"/>
          <w:highlight w:val="none"/>
        </w:rPr>
        <w:t>等，涉及资金</w:t>
      </w:r>
      <w:r>
        <w:rPr>
          <w:rFonts w:hint="eastAsia" w:ascii="仿宋_GB2312" w:hAnsi="仿宋_GB2312" w:eastAsia="仿宋_GB2312" w:cs="仿宋_GB2312"/>
          <w:sz w:val="32"/>
          <w:szCs w:val="32"/>
          <w:highlight w:val="none"/>
          <w:lang w:val="en-US" w:eastAsia="zh-CN"/>
        </w:rPr>
        <w:t>0</w:t>
      </w:r>
      <w:r>
        <w:rPr>
          <w:rFonts w:hint="eastAsia" w:ascii="仿宋_GB2312" w:hAnsi="仿宋_GB2312" w:eastAsia="仿宋_GB2312" w:cs="仿宋_GB2312"/>
          <w:sz w:val="32"/>
          <w:szCs w:val="32"/>
          <w:highlight w:val="none"/>
        </w:rPr>
        <w:t>万元，占项目总数比例</w:t>
      </w:r>
      <w:r>
        <w:rPr>
          <w:rFonts w:hint="eastAsia" w:ascii="仿宋_GB2312" w:hAnsi="仿宋_GB2312" w:eastAsia="仿宋_GB2312" w:cs="仿宋_GB2312"/>
          <w:sz w:val="32"/>
          <w:szCs w:val="32"/>
          <w:highlight w:val="none"/>
          <w:lang w:val="en-US" w:eastAsia="zh-CN"/>
        </w:rPr>
        <w:t>0</w:t>
      </w:r>
      <w:r>
        <w:rPr>
          <w:rFonts w:hint="eastAsia" w:ascii="仿宋_GB2312" w:hAnsi="仿宋_GB2312" w:eastAsia="仿宋_GB2312" w:cs="仿宋_GB2312"/>
          <w:sz w:val="32"/>
          <w:szCs w:val="32"/>
          <w:highlight w:val="none"/>
        </w:rPr>
        <w:t>%，占项目支出总额比例</w:t>
      </w:r>
      <w:r>
        <w:rPr>
          <w:rFonts w:hint="eastAsia" w:ascii="仿宋_GB2312" w:hAnsi="仿宋_GB2312" w:eastAsia="仿宋_GB2312" w:cs="仿宋_GB2312"/>
          <w:sz w:val="32"/>
          <w:szCs w:val="32"/>
          <w:highlight w:val="none"/>
          <w:lang w:val="en-US" w:eastAsia="zh-CN"/>
        </w:rPr>
        <w:t>0</w:t>
      </w:r>
      <w:r>
        <w:rPr>
          <w:rFonts w:hint="eastAsia" w:ascii="仿宋_GB2312" w:hAnsi="仿宋_GB2312" w:eastAsia="仿宋_GB2312" w:cs="仿宋_GB2312"/>
          <w:sz w:val="32"/>
          <w:szCs w:val="32"/>
          <w:highlight w:val="none"/>
        </w:rPr>
        <w:t>%。自评发现的主要问题及原因：</w:t>
      </w:r>
      <w:r>
        <w:rPr>
          <w:rFonts w:hint="eastAsia" w:ascii="仿宋_GB2312" w:hAnsi="仿宋_GB2312" w:eastAsia="仿宋_GB2312" w:cs="仿宋_GB2312"/>
          <w:sz w:val="32"/>
          <w:szCs w:val="32"/>
          <w:highlight w:val="none"/>
          <w:lang w:val="en-US" w:eastAsia="zh-CN"/>
          <w:woUserID w:val="5"/>
        </w:rPr>
        <w:t>财务人员对部分指标设置了解不够，有些指标未能达到准确、全面反映项目的真实情况。</w:t>
      </w:r>
      <w:r>
        <w:rPr>
          <w:rFonts w:hint="eastAsia" w:ascii="仿宋_GB2312" w:hAnsi="仿宋_GB2312" w:eastAsia="仿宋_GB2312" w:cs="仿宋_GB2312"/>
          <w:sz w:val="32"/>
          <w:szCs w:val="32"/>
          <w:highlight w:val="none"/>
        </w:rPr>
        <w:t>下一步改进措施：</w:t>
      </w:r>
      <w:r>
        <w:rPr>
          <w:rFonts w:hint="eastAsia" w:ascii="仿宋_GB2312" w:hAnsi="仿宋_GB2312" w:eastAsia="仿宋_GB2312" w:cs="仿宋_GB2312"/>
          <w:sz w:val="32"/>
          <w:szCs w:val="32"/>
          <w:highlight w:val="none"/>
          <w:lang w:val="en-US" w:eastAsia="zh-CN"/>
          <w:woUserID w:val="5"/>
        </w:rPr>
        <w:t>加强业务学习，根据项目实施的特点，进一步完善绩效指标。</w:t>
      </w:r>
    </w:p>
    <w:p w14:paraId="2C4912F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bCs/>
          <w:sz w:val="32"/>
          <w:szCs w:val="32"/>
          <w:highlight w:val="none"/>
          <w:lang w:eastAsia="zh-CN"/>
        </w:rPr>
      </w:pPr>
      <w:r>
        <w:rPr>
          <w:rFonts w:hint="eastAsia" w:ascii="仿宋_GB2312" w:hAnsi="Times New Roman" w:cs="Times New Roman"/>
          <w:szCs w:val="32"/>
          <w:lang w:val="en-US" w:eastAsia="zh-CN"/>
        </w:rPr>
        <w:t>2.部分重点项目绩效自评情况。</w:t>
      </w:r>
    </w:p>
    <w:p w14:paraId="101019C4">
      <w:pPr>
        <w:spacing w:line="550" w:lineRule="exact"/>
        <w:ind w:firstLine="720" w:firstLineChars="225"/>
        <w:jc w:val="left"/>
        <w:rPr>
          <w:rFonts w:hint="eastAsia" w:ascii="仿宋_GB2312" w:hAnsi="Times New Roman" w:cs="Times New Roman"/>
          <w:szCs w:val="32"/>
          <w:lang w:val="en-US" w:eastAsia="zh-CN"/>
        </w:rPr>
      </w:pPr>
      <w:r>
        <w:rPr>
          <w:rFonts w:hint="eastAsia" w:ascii="仿宋_GB2312" w:hAnsi="仿宋_GB2312" w:eastAsia="仿宋_GB2312" w:cs="仿宋_GB2312"/>
          <w:sz w:val="32"/>
          <w:szCs w:val="32"/>
          <w:highlight w:val="none"/>
          <w:lang w:val="en-US" w:eastAsia="zh-CN"/>
        </w:rPr>
        <w:t>《钦州年鉴》(2024年本)出版费</w:t>
      </w:r>
      <w:r>
        <w:rPr>
          <w:rFonts w:hint="eastAsia" w:ascii="仿宋_GB2312" w:hAnsi="仿宋_GB2312" w:eastAsia="仿宋_GB2312" w:cs="仿宋_GB2312"/>
          <w:sz w:val="32"/>
          <w:szCs w:val="32"/>
          <w:highlight w:val="none"/>
        </w:rPr>
        <w:t>项目绩效自评情况：根据绩效目标，项目自评得分为</w:t>
      </w:r>
      <w:r>
        <w:rPr>
          <w:rFonts w:hint="eastAsia" w:ascii="仿宋_GB2312" w:hAnsi="仿宋_GB2312" w:eastAsia="仿宋_GB2312" w:cs="仿宋_GB2312"/>
          <w:sz w:val="32"/>
          <w:szCs w:val="32"/>
          <w:highlight w:val="none"/>
          <w:lang w:val="en-US" w:eastAsia="zh-CN"/>
        </w:rPr>
        <w:t>99.61</w:t>
      </w:r>
      <w:r>
        <w:rPr>
          <w:rFonts w:hint="eastAsia" w:ascii="仿宋_GB2312" w:hAnsi="仿宋_GB2312" w:eastAsia="仿宋_GB2312" w:cs="仿宋_GB2312"/>
          <w:sz w:val="32"/>
          <w:szCs w:val="32"/>
          <w:highlight w:val="none"/>
        </w:rPr>
        <w:t>分，评级为</w:t>
      </w:r>
      <w:r>
        <w:rPr>
          <w:rFonts w:hint="eastAsia" w:ascii="仿宋_GB2312" w:hAnsi="仿宋_GB2312" w:eastAsia="仿宋_GB2312" w:cs="仿宋_GB2312"/>
          <w:sz w:val="32"/>
          <w:szCs w:val="32"/>
          <w:highlight w:val="none"/>
          <w:lang w:val="en-US" w:eastAsia="zh-CN"/>
        </w:rPr>
        <w:t>一</w:t>
      </w:r>
      <w:r>
        <w:rPr>
          <w:rFonts w:hint="eastAsia" w:ascii="仿宋_GB2312" w:hAnsi="仿宋_GB2312" w:eastAsia="仿宋_GB2312" w:cs="仿宋_GB2312"/>
          <w:sz w:val="32"/>
          <w:szCs w:val="32"/>
          <w:highlight w:val="none"/>
        </w:rPr>
        <w:t>等，项目全年预算数为</w:t>
      </w:r>
      <w:r>
        <w:rPr>
          <w:rFonts w:hint="eastAsia" w:ascii="仿宋_GB2312" w:hAnsi="仿宋_GB2312" w:eastAsia="仿宋_GB2312" w:cs="仿宋_GB2312"/>
          <w:sz w:val="32"/>
          <w:szCs w:val="32"/>
          <w:highlight w:val="none"/>
          <w:lang w:val="en-US" w:eastAsia="zh-CN"/>
        </w:rPr>
        <w:t>25</w:t>
      </w:r>
      <w:r>
        <w:rPr>
          <w:rFonts w:hint="eastAsia" w:ascii="仿宋_GB2312" w:hAnsi="仿宋_GB2312" w:eastAsia="仿宋_GB2312" w:cs="仿宋_GB2312"/>
          <w:sz w:val="32"/>
          <w:szCs w:val="32"/>
          <w:highlight w:val="none"/>
        </w:rPr>
        <w:t>万元，执行数为</w:t>
      </w:r>
      <w:r>
        <w:rPr>
          <w:rFonts w:hint="eastAsia" w:ascii="仿宋_GB2312" w:hAnsi="仿宋_GB2312" w:eastAsia="仿宋_GB2312" w:cs="仿宋_GB2312"/>
          <w:sz w:val="32"/>
          <w:szCs w:val="32"/>
          <w:highlight w:val="none"/>
          <w:lang w:val="en-US" w:eastAsia="zh-CN"/>
        </w:rPr>
        <w:t>24.03</w:t>
      </w:r>
      <w:r>
        <w:rPr>
          <w:rFonts w:hint="eastAsia" w:ascii="仿宋_GB2312" w:hAnsi="仿宋_GB2312" w:eastAsia="仿宋_GB2312" w:cs="仿宋_GB2312"/>
          <w:sz w:val="32"/>
          <w:szCs w:val="32"/>
          <w:highlight w:val="none"/>
        </w:rPr>
        <w:t>万元，完成预算的</w:t>
      </w:r>
      <w:r>
        <w:rPr>
          <w:rFonts w:hint="eastAsia" w:ascii="仿宋_GB2312" w:hAnsi="仿宋_GB2312" w:eastAsia="仿宋_GB2312" w:cs="仿宋_GB2312"/>
          <w:sz w:val="32"/>
          <w:szCs w:val="32"/>
          <w:highlight w:val="none"/>
          <w:lang w:val="en-US" w:eastAsia="zh-CN"/>
        </w:rPr>
        <w:t>96.11</w:t>
      </w:r>
      <w:r>
        <w:rPr>
          <w:rFonts w:hint="eastAsia" w:ascii="仿宋_GB2312" w:hAnsi="仿宋_GB2312" w:eastAsia="仿宋_GB2312" w:cs="仿宋_GB2312"/>
          <w:sz w:val="32"/>
          <w:szCs w:val="32"/>
          <w:highlight w:val="none"/>
        </w:rPr>
        <w:t>%。项目绩效目标完成情况：</w:t>
      </w:r>
      <w:r>
        <w:rPr>
          <w:rFonts w:hint="eastAsia" w:ascii="仿宋_GB2312" w:hAnsi="仿宋_GB2312" w:eastAsia="仿宋_GB2312" w:cs="仿宋_GB2312"/>
          <w:sz w:val="32"/>
          <w:szCs w:val="32"/>
          <w:highlight w:val="none"/>
          <w:lang w:val="en-US" w:eastAsia="zh-CN"/>
        </w:rPr>
        <w:t>《钦州年鉴》(2024年本)公开出版</w:t>
      </w:r>
      <w:r>
        <w:rPr>
          <w:rFonts w:hint="eastAsia" w:ascii="仿宋_GB2312" w:hAnsi="仿宋_GB2312" w:eastAsia="仿宋_GB2312" w:cs="仿宋_GB2312"/>
          <w:sz w:val="32"/>
          <w:szCs w:val="32"/>
          <w:highlight w:val="none"/>
        </w:rPr>
        <w:t>。</w:t>
      </w:r>
    </w:p>
    <w:p w14:paraId="3DA95BA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sz w:val="32"/>
          <w:szCs w:val="32"/>
          <w:highlight w:val="none"/>
        </w:rPr>
      </w:pPr>
      <w:r>
        <w:rPr>
          <w:rFonts w:hint="eastAsia" w:ascii="仿宋_GB2312" w:hAnsi="Times New Roman" w:cs="Times New Roman"/>
          <w:szCs w:val="32"/>
          <w:lang w:val="en-US" w:eastAsia="zh-CN"/>
        </w:rPr>
        <w:t>3.部门绩效评价结果。</w:t>
      </w:r>
    </w:p>
    <w:p w14:paraId="1ED68F1B">
      <w:pPr>
        <w:spacing w:line="550" w:lineRule="exact"/>
        <w:ind w:left="0" w:leftChars="0" w:firstLine="640" w:firstLineChars="200"/>
        <w:rPr>
          <w:rFonts w:hint="eastAsia" w:ascii="仿宋_GB2312" w:hAnsi="Times New Roman" w:cs="Times New Roman"/>
          <w:szCs w:val="32"/>
          <w:lang w:val="en-US" w:eastAsia="zh-CN"/>
        </w:rPr>
      </w:pPr>
      <w:r>
        <w:rPr>
          <w:rFonts w:hint="eastAsia" w:ascii="仿宋_GB2312" w:hAnsi="仿宋_GB2312" w:cs="仿宋_GB2312"/>
          <w:sz w:val="32"/>
          <w:szCs w:val="32"/>
          <w:highlight w:val="none"/>
          <w:lang w:eastAsia="zh-CN"/>
        </w:rPr>
        <w:t>本部门</w:t>
      </w:r>
      <w:r>
        <w:rPr>
          <w:rFonts w:hint="eastAsia" w:ascii="仿宋_GB2312" w:hAnsi="仿宋_GB2312" w:eastAsia="仿宋_GB2312" w:cs="仿宋_GB2312"/>
          <w:sz w:val="32"/>
          <w:szCs w:val="32"/>
          <w:highlight w:val="none"/>
        </w:rPr>
        <w:t>组织对</w:t>
      </w:r>
      <w:r>
        <w:rPr>
          <w:rFonts w:hint="eastAsia" w:ascii="仿宋_GB2312" w:hAnsi="仿宋_GB2312" w:eastAsia="仿宋_GB2312" w:cs="仿宋_GB2312"/>
          <w:sz w:val="32"/>
          <w:szCs w:val="32"/>
          <w:highlight w:val="none"/>
          <w:lang w:val="en-US" w:eastAsia="zh-CN"/>
        </w:rPr>
        <w:t>《钦州年鉴》（2024年本）出版费</w:t>
      </w:r>
      <w:r>
        <w:rPr>
          <w:rFonts w:hint="eastAsia" w:ascii="仿宋_GB2312" w:hAnsi="仿宋_GB2312" w:eastAsia="仿宋_GB2312" w:cs="仿宋_GB2312"/>
          <w:sz w:val="32"/>
          <w:szCs w:val="32"/>
          <w:highlight w:val="none"/>
        </w:rPr>
        <w:t>项目进行了部门评价，涉及一般公共预算支出</w:t>
      </w:r>
      <w:r>
        <w:rPr>
          <w:rFonts w:hint="eastAsia" w:ascii="仿宋_GB2312" w:hAnsi="仿宋_GB2312" w:cs="仿宋_GB2312"/>
          <w:sz w:val="32"/>
          <w:szCs w:val="32"/>
          <w:highlight w:val="none"/>
          <w:lang w:eastAsia="zh"/>
          <w:woUserID w:val="5"/>
        </w:rPr>
        <w:t>24.03</w:t>
      </w:r>
      <w:r>
        <w:rPr>
          <w:rFonts w:hint="eastAsia" w:ascii="仿宋_GB2312" w:hAnsi="仿宋_GB2312" w:eastAsia="仿宋_GB2312" w:cs="仿宋_GB2312"/>
          <w:sz w:val="32"/>
          <w:szCs w:val="32"/>
          <w:highlight w:val="none"/>
        </w:rPr>
        <w:t>万元，政府性基金预算支出</w:t>
      </w:r>
      <w:r>
        <w:rPr>
          <w:rFonts w:hint="eastAsia" w:ascii="仿宋_GB2312" w:hAnsi="仿宋_GB2312" w:eastAsia="仿宋_GB2312" w:cs="仿宋_GB2312"/>
          <w:sz w:val="32"/>
          <w:szCs w:val="32"/>
          <w:highlight w:val="none"/>
          <w:lang w:val="en-US" w:eastAsia="zh-CN"/>
        </w:rPr>
        <w:t>0</w:t>
      </w:r>
      <w:r>
        <w:rPr>
          <w:rFonts w:hint="eastAsia" w:ascii="仿宋_GB2312" w:hAnsi="仿宋_GB2312" w:eastAsia="仿宋_GB2312" w:cs="仿宋_GB2312"/>
          <w:sz w:val="32"/>
          <w:szCs w:val="32"/>
          <w:highlight w:val="none"/>
        </w:rPr>
        <w:t>万元，国有资本经营预算支出</w:t>
      </w:r>
      <w:r>
        <w:rPr>
          <w:rFonts w:hint="eastAsia" w:ascii="仿宋_GB2312" w:hAnsi="仿宋_GB2312" w:eastAsia="仿宋_GB2312" w:cs="仿宋_GB2312"/>
          <w:sz w:val="32"/>
          <w:szCs w:val="32"/>
          <w:highlight w:val="none"/>
          <w:lang w:val="en-US" w:eastAsia="zh-CN"/>
        </w:rPr>
        <w:t>0</w:t>
      </w:r>
      <w:r>
        <w:rPr>
          <w:rFonts w:hint="eastAsia" w:ascii="仿宋_GB2312" w:hAnsi="仿宋_GB2312" w:eastAsia="仿宋_GB2312" w:cs="仿宋_GB2312"/>
          <w:sz w:val="32"/>
          <w:szCs w:val="32"/>
          <w:highlight w:val="none"/>
        </w:rPr>
        <w:t>万元。根据绩效评价指标体系，经过综合评价，绩效评价得分</w:t>
      </w:r>
      <w:r>
        <w:rPr>
          <w:rFonts w:hint="eastAsia" w:ascii="仿宋_GB2312" w:hAnsi="仿宋_GB2312" w:eastAsia="仿宋_GB2312" w:cs="仿宋_GB2312"/>
          <w:sz w:val="32"/>
          <w:szCs w:val="32"/>
          <w:highlight w:val="none"/>
          <w:lang w:val="en-US" w:eastAsia="zh-CN"/>
        </w:rPr>
        <w:t>99.61分</w:t>
      </w:r>
      <w:r>
        <w:rPr>
          <w:rFonts w:hint="eastAsia" w:ascii="仿宋_GB2312" w:hAnsi="仿宋_GB2312" w:eastAsia="仿宋_GB2312" w:cs="仿宋_GB2312"/>
          <w:sz w:val="32"/>
          <w:szCs w:val="32"/>
          <w:highlight w:val="none"/>
        </w:rPr>
        <w:t>。从评价情况来看，</w:t>
      </w:r>
      <w:r>
        <w:rPr>
          <w:rFonts w:hint="eastAsia" w:ascii="仿宋_GB2312" w:hAnsi="仿宋_GB2312" w:eastAsia="仿宋_GB2312" w:cs="仿宋_GB2312"/>
          <w:sz w:val="32"/>
          <w:szCs w:val="32"/>
          <w:highlight w:val="none"/>
          <w:lang w:val="en-US" w:eastAsia="zh-CN"/>
        </w:rPr>
        <w:t>我办全面完成了</w:t>
      </w:r>
      <w:r>
        <w:rPr>
          <w:rFonts w:hint="eastAsia" w:ascii="仿宋_GB2312" w:hAnsi="仿宋_GB2312" w:cs="仿宋_GB2312"/>
          <w:sz w:val="32"/>
          <w:szCs w:val="32"/>
          <w:highlight w:val="none"/>
          <w:lang w:val="en-US" w:eastAsia="zh"/>
          <w:woUserID w:val="5"/>
        </w:rPr>
        <w:t>该</w:t>
      </w:r>
      <w:r>
        <w:rPr>
          <w:rFonts w:hint="eastAsia" w:ascii="仿宋_GB2312" w:hAnsi="仿宋_GB2312" w:eastAsia="仿宋_GB2312" w:cs="仿宋_GB2312"/>
          <w:sz w:val="32"/>
          <w:szCs w:val="32"/>
          <w:highlight w:val="none"/>
          <w:lang w:val="en-US" w:eastAsia="zh-CN"/>
        </w:rPr>
        <w:t>项目</w:t>
      </w:r>
      <w:bookmarkStart w:id="1" w:name="_GoBack"/>
      <w:bookmarkEnd w:id="1"/>
      <w:r>
        <w:rPr>
          <w:rFonts w:hint="eastAsia" w:ascii="仿宋_GB2312" w:hAnsi="仿宋_GB2312" w:eastAsia="仿宋_GB2312" w:cs="仿宋_GB2312"/>
          <w:sz w:val="32"/>
          <w:szCs w:val="32"/>
          <w:highlight w:val="none"/>
          <w:lang w:val="en-US" w:eastAsia="zh-CN"/>
        </w:rPr>
        <w:t>工作任务，项目资金的执行情况和绩效情况达到预期目标，项目目标完成情况良好，项目效益与预期目标符合，资金使用效益较好，项目绩效评价指标的实现程度良好</w:t>
      </w:r>
      <w:r>
        <w:rPr>
          <w:rFonts w:hint="eastAsia" w:ascii="仿宋_GB2312" w:hAnsi="仿宋_GB2312" w:eastAsia="仿宋_GB2312" w:cs="仿宋_GB2312"/>
          <w:sz w:val="32"/>
          <w:szCs w:val="32"/>
          <w:highlight w:val="none"/>
        </w:rPr>
        <w:t>。</w:t>
      </w:r>
    </w:p>
    <w:p w14:paraId="4928E057">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0" w:beforeAutospacing="0" w:after="0" w:afterAutospacing="0" w:line="360" w:lineRule="auto"/>
        <w:ind w:left="0" w:leftChars="0" w:right="0" w:rightChars="0" w:firstLine="640" w:firstLineChars="200"/>
        <w:jc w:val="left"/>
        <w:textAlignment w:val="auto"/>
        <w:rPr>
          <w:rFonts w:hint="eastAsia" w:ascii="仿宋_GB2312" w:cs="仿宋_GB2312"/>
          <w:b/>
          <w:kern w:val="0"/>
          <w:szCs w:val="32"/>
          <w:highlight w:val="none"/>
          <w:lang w:eastAsia="zh-CN"/>
        </w:rPr>
      </w:pPr>
      <w:r>
        <w:br w:type="page"/>
      </w:r>
    </w:p>
    <w:p w14:paraId="3FB9F005">
      <w:pPr>
        <w:spacing w:line="550" w:lineRule="exact"/>
        <w:ind w:firstLine="720" w:firstLineChars="225"/>
        <w:jc w:val="center"/>
        <w:rPr>
          <w:rFonts w:hint="eastAsia" w:ascii="黑体" w:eastAsia="黑体"/>
          <w:szCs w:val="32"/>
        </w:rPr>
      </w:pPr>
      <w:r>
        <w:rPr>
          <w:rFonts w:hint="eastAsia" w:ascii="黑体" w:eastAsia="黑体"/>
          <w:szCs w:val="32"/>
        </w:rPr>
        <w:t>第</w:t>
      </w:r>
      <w:r>
        <w:rPr>
          <w:rFonts w:hint="eastAsia" w:ascii="黑体" w:eastAsia="黑体"/>
          <w:szCs w:val="32"/>
          <w:lang w:eastAsia="zh-CN"/>
        </w:rPr>
        <w:t>五</w:t>
      </w:r>
      <w:r>
        <w:rPr>
          <w:rFonts w:hint="eastAsia" w:ascii="黑体" w:eastAsia="黑体"/>
          <w:szCs w:val="32"/>
        </w:rPr>
        <w:t>部分：名词解释</w:t>
      </w:r>
    </w:p>
    <w:p w14:paraId="662D7843">
      <w:pPr>
        <w:autoSpaceDE w:val="0"/>
        <w:autoSpaceDN w:val="0"/>
        <w:adjustRightInd w:val="0"/>
        <w:ind w:firstLine="640"/>
        <w:jc w:val="left"/>
        <w:rPr>
          <w:rFonts w:ascii="仿宋_GB2312" w:cs="仿宋_GB2312"/>
          <w:kern w:val="0"/>
          <w:szCs w:val="32"/>
        </w:rPr>
      </w:pPr>
      <w:r>
        <w:rPr>
          <w:rFonts w:hint="eastAsia" w:ascii="仿宋_GB2312" w:cs="仿宋_GB2312"/>
          <w:kern w:val="0"/>
          <w:szCs w:val="32"/>
        </w:rPr>
        <w:t>一、财政拨款收入：指财政部门当年拨付的资金。</w:t>
      </w:r>
    </w:p>
    <w:p w14:paraId="1C4B83BE">
      <w:pPr>
        <w:autoSpaceDE w:val="0"/>
        <w:autoSpaceDN w:val="0"/>
        <w:adjustRightInd w:val="0"/>
        <w:ind w:firstLine="640"/>
        <w:jc w:val="left"/>
        <w:rPr>
          <w:rFonts w:hint="eastAsia" w:ascii="仿宋_GB2312" w:cs="仿宋_GB2312"/>
          <w:kern w:val="0"/>
          <w:szCs w:val="32"/>
        </w:rPr>
      </w:pPr>
      <w:r>
        <w:rPr>
          <w:rFonts w:hint="eastAsia" w:ascii="仿宋_GB2312" w:cs="仿宋_GB2312"/>
          <w:kern w:val="0"/>
          <w:szCs w:val="32"/>
        </w:rPr>
        <w:t>二、事业收入：指事业单位开展专业业务活动及辅助活动所取得的收入。</w:t>
      </w:r>
    </w:p>
    <w:p w14:paraId="4EE3E7D3">
      <w:pPr>
        <w:autoSpaceDE w:val="0"/>
        <w:autoSpaceDN w:val="0"/>
        <w:adjustRightInd w:val="0"/>
        <w:ind w:firstLine="640"/>
        <w:jc w:val="left"/>
        <w:rPr>
          <w:rFonts w:hint="eastAsia" w:ascii="仿宋_GB2312" w:cs="仿宋_GB2312"/>
          <w:kern w:val="0"/>
          <w:szCs w:val="32"/>
        </w:rPr>
      </w:pPr>
      <w:r>
        <w:rPr>
          <w:rFonts w:hint="eastAsia" w:ascii="仿宋_GB2312" w:cs="仿宋_GB2312"/>
          <w:kern w:val="0"/>
          <w:szCs w:val="32"/>
        </w:rPr>
        <w:t>三、经营收入：指事业单位在专业业务活动及其辅助活动之外开展非独立核算经营活动取得的收入。</w:t>
      </w:r>
    </w:p>
    <w:p w14:paraId="299A8C26">
      <w:pPr>
        <w:autoSpaceDE w:val="0"/>
        <w:autoSpaceDN w:val="0"/>
        <w:adjustRightInd w:val="0"/>
        <w:ind w:firstLine="640"/>
        <w:jc w:val="left"/>
        <w:rPr>
          <w:rFonts w:hint="eastAsia" w:ascii="仿宋_GB2312" w:cs="仿宋_GB2312"/>
          <w:kern w:val="0"/>
          <w:szCs w:val="32"/>
        </w:rPr>
      </w:pPr>
      <w:r>
        <w:rPr>
          <w:rFonts w:hint="eastAsia" w:ascii="仿宋_GB2312" w:cs="仿宋_GB2312"/>
          <w:kern w:val="0"/>
          <w:szCs w:val="32"/>
        </w:rPr>
        <w:t>四、其他收入：指除上述“财政拨款收入”、“事业收入”、“经营收入”等以外的收入。</w:t>
      </w:r>
    </w:p>
    <w:p w14:paraId="2A381BF9">
      <w:pPr>
        <w:autoSpaceDE w:val="0"/>
        <w:autoSpaceDN w:val="0"/>
        <w:adjustRightInd w:val="0"/>
        <w:ind w:firstLine="640"/>
        <w:jc w:val="left"/>
        <w:rPr>
          <w:rFonts w:hint="eastAsia" w:ascii="仿宋_GB2312" w:cs="仿宋_GB2312"/>
          <w:kern w:val="0"/>
          <w:szCs w:val="32"/>
        </w:rPr>
      </w:pPr>
      <w:r>
        <w:rPr>
          <w:rFonts w:hint="eastAsia" w:ascii="仿宋_GB2312" w:cs="仿宋_GB2312"/>
          <w:kern w:val="0"/>
          <w:szCs w:val="32"/>
        </w:rPr>
        <w:t>五、使用非财政拨款结余：指事业单位按照预算管理要求使用非财政拨款结余弥补收支缺口的资金。</w:t>
      </w:r>
    </w:p>
    <w:p w14:paraId="4FF1E169">
      <w:pPr>
        <w:autoSpaceDE w:val="0"/>
        <w:autoSpaceDN w:val="0"/>
        <w:adjustRightInd w:val="0"/>
        <w:ind w:firstLine="640"/>
        <w:jc w:val="left"/>
        <w:rPr>
          <w:rFonts w:hint="eastAsia" w:ascii="仿宋_GB2312" w:cs="仿宋_GB2312"/>
          <w:kern w:val="0"/>
          <w:szCs w:val="32"/>
        </w:rPr>
      </w:pPr>
      <w:r>
        <w:rPr>
          <w:rFonts w:hint="eastAsia" w:ascii="仿宋_GB2312" w:cs="仿宋_GB2312"/>
          <w:kern w:val="0"/>
          <w:szCs w:val="32"/>
        </w:rPr>
        <w:t>六、年初结转和结余：指以前年度尚未完成、结转到本年按有关规定继续使用的资金。</w:t>
      </w:r>
    </w:p>
    <w:p w14:paraId="27E8EC8F">
      <w:pPr>
        <w:autoSpaceDE w:val="0"/>
        <w:autoSpaceDN w:val="0"/>
        <w:adjustRightInd w:val="0"/>
        <w:ind w:firstLine="640"/>
        <w:jc w:val="left"/>
        <w:rPr>
          <w:rFonts w:hint="eastAsia" w:ascii="仿宋_GB2312" w:cs="仿宋_GB2312"/>
          <w:kern w:val="0"/>
          <w:szCs w:val="32"/>
        </w:rPr>
      </w:pPr>
      <w:r>
        <w:rPr>
          <w:rFonts w:hint="eastAsia" w:ascii="仿宋_GB2312" w:cs="仿宋_GB2312"/>
          <w:kern w:val="0"/>
          <w:szCs w:val="32"/>
        </w:rPr>
        <w:t>七、结余分配：指事业单位按规定提取的职工福利基金、事业基金和缴纳的所得税，以及建设单位按规定应交回的基本建设竣工项目结余资金。</w:t>
      </w:r>
    </w:p>
    <w:p w14:paraId="2FA05D1B">
      <w:pPr>
        <w:autoSpaceDE w:val="0"/>
        <w:autoSpaceDN w:val="0"/>
        <w:adjustRightInd w:val="0"/>
        <w:ind w:firstLine="640"/>
        <w:jc w:val="left"/>
        <w:rPr>
          <w:rFonts w:hint="eastAsia" w:ascii="仿宋_GB2312" w:cs="仿宋_GB2312"/>
          <w:kern w:val="0"/>
          <w:szCs w:val="32"/>
        </w:rPr>
      </w:pPr>
      <w:r>
        <w:rPr>
          <w:rFonts w:hint="eastAsia" w:ascii="仿宋_GB2312" w:cs="仿宋_GB2312"/>
          <w:kern w:val="0"/>
          <w:szCs w:val="32"/>
        </w:rPr>
        <w:t>八、年末结转和结余：指本年度或以前年度预算安排、因客观条件发生变化无法按原计划实施，需要延迟到以后年度按有关规定继续使用的资金。</w:t>
      </w:r>
    </w:p>
    <w:p w14:paraId="4CA3D9F6">
      <w:pPr>
        <w:autoSpaceDE w:val="0"/>
        <w:autoSpaceDN w:val="0"/>
        <w:adjustRightInd w:val="0"/>
        <w:ind w:firstLine="640"/>
        <w:jc w:val="left"/>
        <w:rPr>
          <w:rFonts w:hint="eastAsia" w:ascii="仿宋_GB2312" w:cs="仿宋_GB2312"/>
          <w:kern w:val="0"/>
          <w:szCs w:val="32"/>
        </w:rPr>
      </w:pPr>
      <w:r>
        <w:rPr>
          <w:rFonts w:hint="eastAsia" w:ascii="仿宋_GB2312" w:cs="仿宋_GB2312"/>
          <w:kern w:val="0"/>
          <w:szCs w:val="32"/>
        </w:rPr>
        <w:t>九、基本支出：指为保障机构正常运转、完成日常工作任务而发生的人员支出和公用支出。</w:t>
      </w:r>
    </w:p>
    <w:p w14:paraId="530D8AFE">
      <w:pPr>
        <w:autoSpaceDE w:val="0"/>
        <w:autoSpaceDN w:val="0"/>
        <w:adjustRightInd w:val="0"/>
        <w:ind w:firstLine="640"/>
        <w:jc w:val="left"/>
        <w:rPr>
          <w:rFonts w:hint="eastAsia" w:ascii="仿宋_GB2312" w:cs="仿宋_GB2312"/>
          <w:kern w:val="0"/>
          <w:szCs w:val="32"/>
        </w:rPr>
      </w:pPr>
      <w:r>
        <w:rPr>
          <w:rFonts w:hint="eastAsia" w:ascii="仿宋_GB2312" w:cs="仿宋_GB2312"/>
          <w:kern w:val="0"/>
          <w:szCs w:val="32"/>
        </w:rPr>
        <w:t>十、项目支出：指在基本支出之外为完成特定行政任务和事业发展目标所发生的支出。</w:t>
      </w:r>
    </w:p>
    <w:p w14:paraId="2B3AAF41">
      <w:pPr>
        <w:autoSpaceDE w:val="0"/>
        <w:autoSpaceDN w:val="0"/>
        <w:adjustRightInd w:val="0"/>
        <w:ind w:firstLine="640"/>
        <w:jc w:val="left"/>
        <w:rPr>
          <w:rFonts w:hint="eastAsia" w:ascii="仿宋_GB2312" w:cs="仿宋_GB2312"/>
          <w:kern w:val="0"/>
          <w:szCs w:val="32"/>
        </w:rPr>
      </w:pPr>
      <w:r>
        <w:rPr>
          <w:rFonts w:hint="eastAsia" w:ascii="仿宋_GB2312" w:cs="仿宋_GB2312"/>
          <w:kern w:val="0"/>
          <w:szCs w:val="32"/>
        </w:rPr>
        <w:t>十一、经营支出：指事业单位在专业业务活动及其辅助活动之外开展非独立核算经营活动发生的支出。</w:t>
      </w:r>
    </w:p>
    <w:p w14:paraId="62603386">
      <w:pPr>
        <w:autoSpaceDE w:val="0"/>
        <w:autoSpaceDN w:val="0"/>
        <w:adjustRightInd w:val="0"/>
        <w:ind w:firstLine="640"/>
        <w:jc w:val="left"/>
        <w:rPr>
          <w:rFonts w:hint="eastAsia" w:ascii="仿宋_GB2312" w:cs="仿宋_GB2312"/>
          <w:kern w:val="0"/>
          <w:szCs w:val="32"/>
        </w:rPr>
      </w:pPr>
      <w:r>
        <w:rPr>
          <w:rFonts w:hint="eastAsia" w:ascii="仿宋_GB2312" w:cs="仿宋_GB2312"/>
          <w:kern w:val="0"/>
          <w:szCs w:val="32"/>
        </w:rPr>
        <w:t>十二、“三公”经费：纳入财政预决算管理的“三公”经费，是指各部门用财政拨款安排的因公出国（境）费、公务用车购置及运行费和公务接待费。其中，因公出国（境）费反映单位公务出国（境）的国际旅费、国外城市间交通费、住宿费、伙食费、培训费、公杂费等支出；公务用车购置及运行费反映单位公务用车车辆购置支出（含车辆购置税）及租用费、燃料费、维修费、过路过桥费、保险费、安全奖励费用等支出；公务接待费反映单位按规定开支的各类公务接待（含外宾接待）支出。</w:t>
      </w:r>
    </w:p>
    <w:p w14:paraId="6DBD12FF">
      <w:pPr>
        <w:autoSpaceDE w:val="0"/>
        <w:autoSpaceDN w:val="0"/>
        <w:adjustRightInd w:val="0"/>
        <w:ind w:firstLine="640"/>
        <w:jc w:val="left"/>
        <w:rPr>
          <w:rFonts w:hint="eastAsia" w:ascii="仿宋_GB2312" w:cs="仿宋_GB2312"/>
          <w:kern w:val="0"/>
          <w:szCs w:val="32"/>
        </w:rPr>
      </w:pPr>
      <w:r>
        <w:rPr>
          <w:rFonts w:hint="eastAsia" w:ascii="仿宋_GB2312" w:cs="仿宋_GB2312"/>
          <w:kern w:val="0"/>
          <w:szCs w:val="32"/>
        </w:rPr>
        <w:t>十三、机关运行经费：为保障行政单位（含参照公务员法管理的事业单位）运行用于购买货物和服务的各项资金，包括办公及印刷费、邮电费、差旅费、会议费、福利费、日常维修费、专用材料及一般设备购置费、办公用房水电费、办公用房取暖费、办公用房物业管理费、公务用车运行维护费以及其他费用。</w:t>
      </w:r>
    </w:p>
    <w:p w14:paraId="5E168F6C">
      <w:pPr>
        <w:autoSpaceDE w:val="0"/>
        <w:autoSpaceDN w:val="0"/>
        <w:adjustRightInd w:val="0"/>
        <w:ind w:firstLine="640"/>
        <w:jc w:val="left"/>
        <w:rPr>
          <w:rFonts w:hint="eastAsia" w:ascii="仿宋_GB2312" w:cs="仿宋_GB2312"/>
          <w:kern w:val="0"/>
          <w:szCs w:val="32"/>
        </w:rPr>
      </w:pPr>
    </w:p>
    <w:p w14:paraId="6DC90D02">
      <w:pPr>
        <w:autoSpaceDE w:val="0"/>
        <w:autoSpaceDN w:val="0"/>
        <w:adjustRightInd w:val="0"/>
        <w:ind w:firstLine="640"/>
        <w:jc w:val="left"/>
        <w:rPr>
          <w:rFonts w:hint="eastAsia" w:ascii="仿宋_GB2312" w:cs="仿宋_GB2312"/>
          <w:kern w:val="0"/>
          <w:szCs w:val="32"/>
        </w:rPr>
      </w:pPr>
    </w:p>
    <w:p w14:paraId="7516BC87">
      <w:pPr>
        <w:autoSpaceDE w:val="0"/>
        <w:autoSpaceDN w:val="0"/>
        <w:adjustRightInd w:val="0"/>
        <w:ind w:firstLine="640"/>
        <w:jc w:val="left"/>
        <w:rPr>
          <w:rFonts w:hint="eastAsia" w:ascii="仿宋_GB2312"/>
          <w:szCs w:val="32"/>
        </w:rPr>
      </w:pPr>
    </w:p>
    <w:p w14:paraId="2DE47417">
      <w:pPr>
        <w:ind w:firstLine="640"/>
        <w:jc w:val="left"/>
      </w:pPr>
    </w:p>
    <w:sectPr>
      <w:pgSz w:w="11906" w:h="16838"/>
      <w:pgMar w:top="1418" w:right="1531" w:bottom="1418" w:left="1531" w:header="851" w:footer="992" w:gutter="0"/>
      <w:pgNumType w:fmt="numberInDash"/>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40"/>
      </w:pPr>
      <w:r>
        <w:separator/>
      </w:r>
    </w:p>
  </w:endnote>
  <w:endnote w:type="continuationSeparator" w:id="1">
    <w:p>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altName w:val="汉仪书宋二KW"/>
    <w:panose1 w:val="00000000000000000000"/>
    <w:charset w:val="86"/>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embedRegular r:id="rId1" w:fontKey="{084C85C7-6549-F311-8787-88682C7705E3}"/>
  </w:font>
  <w:font w:name="Wingdings">
    <w:altName w:val="Kingsoft Confetti"/>
    <w:panose1 w:val="05000000000000000000"/>
    <w:charset w:val="02"/>
    <w:family w:val="auto"/>
    <w:pitch w:val="default"/>
    <w:sig w:usb0="00000000" w:usb1="00000000" w:usb2="00000000" w:usb3="00000000" w:csb0="80000000" w:csb1="00000000"/>
  </w:font>
  <w:font w:name="Kingsoft Confetti">
    <w:panose1 w:val="05000100010000000000"/>
    <w:charset w:val="00"/>
    <w:family w:val="auto"/>
    <w:pitch w:val="default"/>
    <w:sig w:usb0="00000000" w:usb1="00000000" w:usb2="00000000" w:usb3="00000000" w:csb0="80000000" w:csb1="00000000"/>
    <w:embedRegular r:id="rId2" w:fontKey="{904BA45C-67BE-29FE-8787-8868BEC5BF9C}"/>
  </w:font>
  <w:font w:name="Arial">
    <w:panose1 w:val="020B0604020202020204"/>
    <w:charset w:val="01"/>
    <w:family w:val="swiss"/>
    <w:pitch w:val="default"/>
    <w:sig w:usb0="E0002AFF" w:usb1="C0007843" w:usb2="00000009" w:usb3="00000000" w:csb0="400001FF" w:csb1="FFFF0000"/>
    <w:embedRegular r:id="rId3" w:fontKey="{521DBC1B-7FB8-B1D3-8787-88680C0448CC}"/>
  </w:font>
  <w:font w:name="黑体">
    <w:altName w:val="汉仪中黑KW"/>
    <w:panose1 w:val="02010609060101010101"/>
    <w:charset w:val="86"/>
    <w:family w:val="auto"/>
    <w:pitch w:val="default"/>
    <w:sig w:usb0="800002BF" w:usb1="38CF7CFA" w:usb2="00000016" w:usb3="00000000" w:csb0="00040001" w:csb1="00000000"/>
  </w:font>
  <w:font w:name="汉仪中黑KW">
    <w:panose1 w:val="00020600040101010101"/>
    <w:charset w:val="86"/>
    <w:family w:val="auto"/>
    <w:pitch w:val="default"/>
    <w:sig w:usb0="A00002BF" w:usb1="18EF7CFA" w:usb2="00000016" w:usb3="00000000" w:csb0="00040000" w:csb1="00000000"/>
    <w:embedRegular r:id="rId4" w:fontKey="{A2C2CC9E-F6BE-DEE0-8787-88687C8FBADF}"/>
  </w:font>
  <w:font w:name="Courier New">
    <w:panose1 w:val="02070309020205020404"/>
    <w:charset w:val="01"/>
    <w:family w:val="modern"/>
    <w:pitch w:val="default"/>
    <w:sig w:usb0="E0002AFF" w:usb1="C0007843" w:usb2="00000009" w:usb3="00000000" w:csb0="400001FF" w:csb1="FFFF0000"/>
    <w:embedRegular r:id="rId5" w:fontKey="{75BE1EE6-B603-988E-8787-8868D60D89F7}"/>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80000000" w:csb1="00000000"/>
    <w:embedRegular r:id="rId6" w:fontKey="{37D45E08-55EC-8DC6-8787-88683C929CC6}"/>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embedRegular r:id="rId7" w:fontKey="{4D98E387-7314-E324-8787-8868F8A0AB67}"/>
  </w:font>
  <w:font w:name="仿宋_GB2312">
    <w:altName w:val="汉仪仿宋KW"/>
    <w:panose1 w:val="02010609030101010101"/>
    <w:charset w:val="86"/>
    <w:family w:val="auto"/>
    <w:pitch w:val="default"/>
    <w:sig w:usb0="00000000" w:usb1="00000000" w:usb2="00000000" w:usb3="00000000" w:csb0="00040000" w:csb1="00000000"/>
  </w:font>
  <w:font w:name="汉仪仿宋KW">
    <w:panose1 w:val="00020600040101010101"/>
    <w:charset w:val="86"/>
    <w:family w:val="auto"/>
    <w:pitch w:val="default"/>
    <w:sig w:usb0="A00002BF" w:usb1="18EF7CFA" w:usb2="00000016" w:usb3="00000000" w:csb0="00040000" w:csb1="00000000"/>
    <w:embedRegular r:id="rId8" w:fontKey="{FD164535-8053-1B9E-8787-886828C578B7}"/>
  </w:font>
  <w:font w:name="方正小标宋简体">
    <w:altName w:val="汉仪书宋二KW"/>
    <w:panose1 w:val="02000000000000000000"/>
    <w:charset w:val="86"/>
    <w:family w:val="auto"/>
    <w:pitch w:val="default"/>
    <w:sig w:usb0="00000000" w:usb1="00000000" w:usb2="00000000" w:usb3="00000000" w:csb0="00040000" w:csb1="00000000"/>
  </w:font>
  <w:font w:name="楷体_GB2312">
    <w:altName w:val="汉仪楷体KW"/>
    <w:panose1 w:val="02010609030101010101"/>
    <w:charset w:val="86"/>
    <w:family w:val="auto"/>
    <w:pitch w:val="default"/>
    <w:sig w:usb0="00000000" w:usb1="00000000" w:usb2="00000000" w:usb3="00000000" w:csb0="00040000" w:csb1="00000000"/>
  </w:font>
  <w:font w:name="汉仪楷体KW">
    <w:panose1 w:val="00020600040101010101"/>
    <w:charset w:val="86"/>
    <w:family w:val="auto"/>
    <w:pitch w:val="default"/>
    <w:sig w:usb0="A00002BF" w:usb1="18EF7CFA" w:usb2="00000016" w:usb3="00000000" w:csb0="00040000" w:csb1="00000000"/>
    <w:embedRegular r:id="rId9" w:fontKey="{EE0D58B4-8418-5E40-8787-8868D20989C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412E74">
    <w:pPr>
      <w:pStyle w:val="3"/>
      <w:framePr w:wrap="around" w:vAnchor="text" w:hAnchor="margin" w:xAlign="outside" w:y="1"/>
      <w:ind w:firstLine="560"/>
      <w:rPr>
        <w:rStyle w:val="8"/>
        <w:rFonts w:ascii="宋体" w:hAnsi="宋体"/>
        <w:sz w:val="28"/>
        <w:szCs w:val="28"/>
      </w:rPr>
    </w:pPr>
    <w:r>
      <w:rPr>
        <w:rStyle w:val="8"/>
        <w:rFonts w:ascii="宋体" w:hAnsi="宋体"/>
        <w:sz w:val="28"/>
        <w:szCs w:val="28"/>
      </w:rPr>
      <w:fldChar w:fldCharType="begin"/>
    </w:r>
    <w:r>
      <w:rPr>
        <w:rStyle w:val="8"/>
        <w:rFonts w:ascii="宋体" w:hAnsi="宋体"/>
        <w:sz w:val="28"/>
        <w:szCs w:val="28"/>
      </w:rPr>
      <w:instrText xml:space="preserve">PAGE  </w:instrText>
    </w:r>
    <w:r>
      <w:rPr>
        <w:rStyle w:val="8"/>
        <w:rFonts w:ascii="宋体" w:hAnsi="宋体"/>
        <w:sz w:val="28"/>
        <w:szCs w:val="28"/>
      </w:rPr>
      <w:fldChar w:fldCharType="separate"/>
    </w:r>
    <w:r>
      <w:rPr>
        <w:rStyle w:val="8"/>
        <w:rFonts w:ascii="宋体" w:hAnsi="宋体"/>
        <w:sz w:val="28"/>
        <w:szCs w:val="28"/>
      </w:rPr>
      <w:t>-8-</w:t>
    </w:r>
    <w:r>
      <w:rPr>
        <w:rStyle w:val="8"/>
        <w:rFonts w:ascii="宋体" w:hAnsi="宋体"/>
        <w:sz w:val="28"/>
        <w:szCs w:val="28"/>
      </w:rPr>
      <w:fldChar w:fldCharType="end"/>
    </w:r>
  </w:p>
  <w:p w14:paraId="662218A9">
    <w:pPr>
      <w:pStyle w:val="3"/>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C4F38A">
    <w:pPr>
      <w:pStyle w:val="3"/>
      <w:framePr w:wrap="around" w:vAnchor="text" w:hAnchor="margin" w:xAlign="outside" w:y="1"/>
      <w:ind w:firstLine="360"/>
      <w:rPr>
        <w:rStyle w:val="8"/>
      </w:rPr>
    </w:pPr>
    <w:r>
      <w:pgNum/>
    </w:r>
  </w:p>
  <w:p w14:paraId="512AD658">
    <w:pPr>
      <w:pStyle w:val="3"/>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B8605C">
    <w:pPr>
      <w:pStyle w:val="3"/>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640"/>
      </w:pPr>
      <w:r>
        <w:separator/>
      </w:r>
    </w:p>
  </w:footnote>
  <w:footnote w:type="continuationSeparator" w:id="1">
    <w:p>
      <w:pPr>
        <w:spacing w:line="240" w:lineRule="auto"/>
        <w:ind w:firstLine="64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AC0200">
    <w:pPr>
      <w:pStyle w:val="4"/>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5D970B">
    <w:pPr>
      <w:pStyle w:val="4"/>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314DBB">
    <w:pPr>
      <w:pStyle w:val="4"/>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CF4E24C"/>
    <w:multiLevelType w:val="singleLevel"/>
    <w:tmpl w:val="FCF4E24C"/>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nforcement="1" w:edit="comments" w:salt="Snp1g5oOnAmBSQxQpQUXiQ==" w:hash="rDXU6f4DU3dbQh8GJ6jdkIfXRI56ZDw79QmHrDuBuVFNacWiT06nWz91MlyN9w5cUpka2GiQ+2VN3g/VGCKdhg==" w:cryptSpinCount="100000" w:cryptAlgorithmType="typeAny" w:cryptAlgorithmClass="hash" w:cryptProviderType="rsaAES" w:cryptAlgorithmSid="14"/>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FiOTZkYjkwN2Q1MTBhY2U1NDI3ZmEwNzcyMDM4OGMifQ=="/>
  </w:docVars>
  <w:rsids>
    <w:rsidRoot w:val="00000000"/>
    <w:rsid w:val="135E0263"/>
    <w:rsid w:val="2DEF992C"/>
    <w:rsid w:val="36BFB13D"/>
    <w:rsid w:val="3F167FA5"/>
    <w:rsid w:val="57FF1273"/>
    <w:rsid w:val="5F9D83A1"/>
    <w:rsid w:val="67EF432C"/>
    <w:rsid w:val="70FBC46D"/>
    <w:rsid w:val="76BFD4A2"/>
    <w:rsid w:val="778FBFF8"/>
    <w:rsid w:val="77EB412B"/>
    <w:rsid w:val="7EEE7727"/>
    <w:rsid w:val="7FF31009"/>
    <w:rsid w:val="94FFFA84"/>
    <w:rsid w:val="AFEFB7EA"/>
    <w:rsid w:val="BBF63C91"/>
    <w:rsid w:val="BE599FD9"/>
    <w:rsid w:val="CE3E8C2D"/>
    <w:rsid w:val="DF62A0FB"/>
    <w:rsid w:val="E92F0641"/>
    <w:rsid w:val="EEC1928E"/>
    <w:rsid w:val="EFBB8844"/>
    <w:rsid w:val="EFDFD039"/>
    <w:rsid w:val="FB5F9911"/>
    <w:rsid w:val="FBFFCE38"/>
    <w:rsid w:val="FFCD5D3C"/>
  </w:rsids>
  <m:mathPr>
    <m:brkBin m:val="before"/>
    <m:brkBinSub m:val="--"/>
    <m:smallFrac m:val="0"/>
    <m:dispDef/>
    <m:lMargin m:val="0"/>
    <m:rMargin m:val="0"/>
    <m:defJc m:val="centerGroup"/>
    <m:preSp m:val="0"/>
    <m:postSp m:val="0"/>
    <m:interSp m:val="0"/>
    <m:intraSp m:val="0"/>
    <m:wrapIndent m:val="1440"/>
    <m:intLim m:val="subSup"/>
    <m:naryLim m:val="undOvr"/>
  </m:mathPr>
  <w:doNotAutoCompressPictures/>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unhideWhenUsed="0" w:uiPriority="0" w:semiHidden="0" w:name="heading 1"/>
    <w:lsdException w:unhideWhenUsed="0" w:uiPriority="0" w:semiHidden="0" w:name="heading 2"/>
    <w:lsdException w:unhideWhenUsed="0" w:uiPriority="0" w:semiHidden="0" w:name="heading 3"/>
    <w:lsdException w:unhideWhenUsed="0" w:uiPriority="0" w:semiHidden="0" w:name="heading 4"/>
    <w:lsdException w:unhideWhenUsed="0" w:uiPriority="0" w:semiHidden="0" w:name="heading 5"/>
    <w:lsdException w:unhideWhenUsed="0" w:uiPriority="0" w:semiHidden="0" w:name="heading 6"/>
    <w:lsdException w:unhideWhenUsed="0" w:uiPriority="0" w:semiHidden="0" w:name="heading 7"/>
    <w:lsdException w:unhideWhenUsed="0" w:uiPriority="0" w:semiHidden="0" w:name="heading 8"/>
    <w:lsdException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iPriority="99"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unhideWhenUsed="0" w:uiPriority="0" w:semiHidden="0" w:name="Strong"/>
    <w:lsdException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iPriority="99"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560" w:lineRule="exact"/>
      <w:ind w:firstLine="200" w:firstLineChars="200"/>
      <w:jc w:val="both"/>
    </w:pPr>
    <w:rPr>
      <w:rFonts w:ascii="Times New Roman" w:hAnsi="Times New Roman" w:eastAsia="仿宋_GB2312" w:cs="Times New Roman"/>
      <w:kern w:val="2"/>
      <w:sz w:val="32"/>
      <w:szCs w:val="24"/>
      <w:lang w:val="en-US" w:eastAsia="zh-CN" w:bidi="ar-SA"/>
    </w:rPr>
  </w:style>
  <w:style w:type="character" w:default="1" w:styleId="7">
    <w:name w:val="Default Paragraph Font"/>
    <w:autoRedefine/>
    <w:semiHidden/>
    <w:qFormat/>
    <w:uiPriority w:val="0"/>
  </w:style>
  <w:style w:type="table" w:default="1" w:styleId="5">
    <w:name w:val="Normal Table"/>
    <w:autoRedefine/>
    <w:semiHidden/>
    <w:qFormat/>
    <w:uiPriority w:val="0"/>
    <w:pPr>
      <w:keepNext w:val="0"/>
      <w:keepLines w:val="0"/>
      <w:widowControl/>
      <w:suppressLineNumbers w:val="0"/>
      <w:spacing w:before="0" w:beforeAutospacing="0" w:after="0" w:afterAutospacing="0"/>
      <w:ind w:left="0" w:right="0"/>
    </w:pPr>
    <w:rPr>
      <w:rFonts w:hint="default" w:ascii="Calibri" w:hAnsi="Calibri" w:cs="Times New Roman"/>
      <w:kern w:val="2"/>
      <w:sz w:val="21"/>
      <w:szCs w:val="22"/>
    </w:rPr>
    <w:tblPr>
      <w:tblCellMar>
        <w:top w:w="0" w:type="dxa"/>
        <w:left w:w="108" w:type="dxa"/>
        <w:bottom w:w="0" w:type="dxa"/>
        <w:right w:w="108" w:type="dxa"/>
      </w:tblCellMar>
    </w:tblPr>
  </w:style>
  <w:style w:type="paragraph" w:styleId="2">
    <w:name w:val="Body Text Indent 2"/>
    <w:basedOn w:val="1"/>
    <w:autoRedefine/>
    <w:qFormat/>
    <w:uiPriority w:val="0"/>
    <w:pPr>
      <w:widowControl w:val="0"/>
      <w:spacing w:line="480" w:lineRule="auto"/>
      <w:ind w:left="420" w:leftChars="200"/>
      <w:jc w:val="both"/>
    </w:pPr>
    <w:rPr>
      <w:rFonts w:ascii="Calibri" w:hAnsi="Calibri" w:eastAsia="宋体" w:cs="Times New Roman"/>
      <w:kern w:val="2"/>
      <w:sz w:val="21"/>
      <w:szCs w:val="24"/>
      <w:lang w:val="en-US" w:eastAsia="zh-CN" w:bidi="ar-SA"/>
    </w:rPr>
  </w:style>
  <w:style w:type="paragraph" w:styleId="3">
    <w:name w:val="footer"/>
    <w:basedOn w:val="1"/>
    <w:autoRedefine/>
    <w:qFormat/>
    <w:uiPriority w:val="0"/>
    <w:pPr>
      <w:tabs>
        <w:tab w:val="center" w:pos="4153"/>
        <w:tab w:val="right" w:pos="8306"/>
      </w:tabs>
      <w:snapToGrid w:val="0"/>
      <w:jc w:val="left"/>
    </w:pPr>
    <w:rPr>
      <w:sz w:val="18"/>
      <w:szCs w:val="18"/>
    </w:rPr>
  </w:style>
  <w:style w:type="paragraph" w:styleId="4">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table" w:styleId="6">
    <w:name w:val="Table Grid"/>
    <w:basedOn w:val="5"/>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8">
    <w:name w:val="page number"/>
    <w:basedOn w:val="7"/>
    <w:autoRedefine/>
    <w:qFormat/>
    <w:uiPriority w:val="0"/>
  </w:style>
  <w:style w:type="character" w:customStyle="1" w:styleId="9">
    <w:name w:val=" Char Char3"/>
    <w:autoRedefine/>
    <w:qFormat/>
    <w:uiPriority w:val="0"/>
    <w:rPr>
      <w:rFonts w:eastAsia="宋体"/>
      <w:kern w:val="2"/>
      <w:sz w:val="18"/>
      <w:szCs w:val="18"/>
      <w:lang w:val="en-US" w:eastAsia="zh-CN" w:bidi="ar-SA"/>
    </w:rPr>
  </w:style>
  <w:style w:type="character" w:customStyle="1" w:styleId="10">
    <w:name w:val=" Char Char4"/>
    <w:autoRedefine/>
    <w:qFormat/>
    <w:uiPriority w:val="0"/>
    <w:rPr>
      <w:rFonts w:eastAsia="宋体"/>
      <w:kern w:val="2"/>
      <w:sz w:val="18"/>
      <w:szCs w:val="18"/>
      <w:lang w:val="en-US" w:eastAsia="zh-CN" w:bidi="ar-SA"/>
    </w:rPr>
  </w:style>
  <w:style w:type="character" w:customStyle="1" w:styleId="11">
    <w:name w:val="15"/>
    <w:basedOn w:val="7"/>
    <w:uiPriority w:val="0"/>
    <w:rPr>
      <w:rFonts w:hint="default" w:ascii="Times New Roman" w:hAnsi="Times New Roman" w:cs="Times New Roman"/>
    </w:rPr>
  </w:style>
  <w:style w:type="character" w:customStyle="1" w:styleId="12">
    <w:name w:val="10"/>
    <w:basedOn w:val="7"/>
    <w:uiPriority w:val="0"/>
    <w:rPr>
      <w:rFonts w:hint="default" w:ascii="Times New Roman" w:hAnsi="Times New Roman" w:cs="Times New Roman"/>
    </w:rPr>
  </w:style>
</w:styles>
</file>

<file path=word/_rels/document.xml.rels><?xml version="1.0" encoding="UTF-8" standalone="yes"?><Relationships xmlns="http://schemas.openxmlformats.org/package/2006/relationships"><Relationship Id="rId1" Target="styles.xml" Type="http://schemas.openxmlformats.org/officeDocument/2006/relationships/styles"/><Relationship Id="rId10" Target="footer3.xml" Type="http://schemas.openxmlformats.org/officeDocument/2006/relationships/footer"/><Relationship Id="rId11" Target="theme/theme1.xml" Type="http://schemas.openxmlformats.org/officeDocument/2006/relationships/theme"/><Relationship Id="rId12" Target="numbering.xml" Type="http://schemas.openxmlformats.org/officeDocument/2006/relationships/numbering"/><Relationship Id="rId13" Target="../customXml/item1.xml" Type="http://schemas.openxmlformats.org/officeDocument/2006/relationships/customXml"/><Relationship Id="rId14" Target="../customXml/item2.xml" Type="http://schemas.openxmlformats.org/officeDocument/2006/relationships/customXml"/><Relationship Id="rId15" Target="../customXml/item3.xml" Type="http://schemas.openxmlformats.org/officeDocument/2006/relationships/customXml"/><Relationship Id="rId16" Target="fontTable.xml" Type="http://schemas.openxmlformats.org/officeDocument/2006/relationships/fontTable"/><Relationship Id="rId2" Target="settings.xml" Type="http://schemas.openxmlformats.org/officeDocument/2006/relationships/settings"/><Relationship Id="rId3" Target="footnotes.xml" Type="http://schemas.openxmlformats.org/officeDocument/2006/relationships/footnotes"/><Relationship Id="rId4" Target="endnotes.xml" Type="http://schemas.openxmlformats.org/officeDocument/2006/relationships/endnotes"/><Relationship Id="rId5" Target="header1.xml" Type="http://schemas.openxmlformats.org/officeDocument/2006/relationships/header"/><Relationship Id="rId6" Target="header2.xml" Type="http://schemas.openxmlformats.org/officeDocument/2006/relationships/header"/><Relationship Id="rId7" Target="header3.xml" Type="http://schemas.openxmlformats.org/officeDocument/2006/relationships/header"/><Relationship Id="rId8" Target="footer1.xml" Type="http://schemas.openxmlformats.org/officeDocument/2006/relationships/footer"/><Relationship Id="rId9" Target="footer2.xml" Type="http://schemas.openxmlformats.org/officeDocument/2006/relationships/footer"/></Relationships>
</file>

<file path=word/_rels/fontTable.xml.rels><?xml version="1.0" encoding="UTF-8" standalone="yes"?><Relationships xmlns="http://schemas.openxmlformats.org/package/2006/relationships"><Relationship Id="rId1" Target="fonts/font1.odttf" Type="http://schemas.openxmlformats.org/officeDocument/2006/relationships/font"/><Relationship Id="rId2" Target="fonts/font2.odttf" Type="http://schemas.openxmlformats.org/officeDocument/2006/relationships/font"/><Relationship Id="rId3" Target="fonts/font3.odttf" Type="http://schemas.openxmlformats.org/officeDocument/2006/relationships/font"/><Relationship Id="rId4" Target="fonts/font4.odttf" Type="http://schemas.openxmlformats.org/officeDocument/2006/relationships/font"/><Relationship Id="rId5" Target="fonts/font5.odttf" Type="http://schemas.openxmlformats.org/officeDocument/2006/relationships/font"/><Relationship Id="rId6" Target="fonts/font6.odttf" Type="http://schemas.openxmlformats.org/officeDocument/2006/relationships/font"/><Relationship Id="rId7" Target="fonts/font7.odttf" Type="http://schemas.openxmlformats.org/officeDocument/2006/relationships/font"/><Relationship Id="rId8" Target="fonts/font8.odttf" Type="http://schemas.openxmlformats.org/officeDocument/2006/relationships/font"/><Relationship Id="rId9" Target="fonts/font9.odttf" Type="http://schemas.openxmlformats.org/officeDocument/2006/relationships/font"/></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_rels/item2.xml.rels><?xml version="1.0" encoding="UTF-8" standalone="yes"?><Relationships xmlns="http://schemas.openxmlformats.org/package/2006/relationships"><Relationship Id="rId1" Target="itemProps2.xml" Type="http://schemas.openxmlformats.org/officeDocument/2006/relationships/customXmlProps"/></Relationships>
</file>

<file path=customXml/_rels/item3.xml.rels><?xml version="1.0" encoding="UTF-8" standalone="yes"?><Relationships xmlns="http://schemas.openxmlformats.org/package/2006/relationships"><Relationship Id="rId1" Target="itemProps3.xml" Type="http://schemas.openxmlformats.org/officeDocument/2006/relationships/customXmlProps"/></Relationships>
</file>

<file path=customXml/item1.xml><?xml version="1.0" encoding="utf-8"?>
<cp:coreProperties xmlns:cp="http://schemas.openxmlformats.org/package/2006/metadata/core-properties" xmlns:xsi="http://www.w3.org/2001/XMLSchema-instance" xmlns:dc="http://purl.org/dc/elements/1.1/" xmlns:dcterms="http://purl.org/dc/terms/">
  <dcterms:created xmlns:dcterms="http://purl.org/dc/terms/" xmlns:xsi="http://www.w3.org/2001/XMLSchema-instance" xsi:type="dcterms:W3CDTF">2018-07-03T04:07:00Z</dcterms:created>
  <dc:creator xmlns:dc="http://purl.org/dc/elements/1.1/">小刘</dc:creator>
  <cp:lastModifiedBy xmlns:cp="http://schemas.openxmlformats.org/package/2006/metadata/core-properties">C D D</cp:lastModifiedBy>
  <cp:lastPrinted xmlns:cp="http://schemas.openxmlformats.org/package/2006/metadata/core-properties">2021-06-30T09:00:00Z</cp:lastPrinted>
  <dcterms:modified xmlns:dcterms="http://purl.org/dc/terms/" xmlns:xsi="http://www.w3.org/2001/XMLSchema-instance" xsi:type="dcterms:W3CDTF">2025-07-16T04:04:41Z</dcterms:modified>
  <cp:revision xmlns:cp="http://schemas.openxmlformats.org/package/2006/metadata/core-properties">92</cp:revision>
</cp:coreProperties>
</file>

<file path=customXml/item2.xml><?xml version="1.0" encoding="utf-8"?>
<Properties xmlns="http://schemas.openxmlformats.org/officeDocument/2006/extended-properties" xmlns:vt="http://schemas.openxmlformats.org/officeDocument/2006/docPropsVTypes">
  <Template xmlns="http://schemas.openxmlformats.org/officeDocument/2006/extended-properties">Normal.dot</Template>
  <Company xmlns="http://schemas.openxmlformats.org/officeDocument/2006/extended-properties">Microsoft China</Company>
  <Pages xmlns="http://schemas.openxmlformats.org/officeDocument/2006/extended-properties">15</Pages>
  <Words xmlns="http://schemas.openxmlformats.org/officeDocument/2006/extended-properties">4026</Words>
  <Characters xmlns="http://schemas.openxmlformats.org/officeDocument/2006/extended-properties">7242</Characters>
  <Lines xmlns="http://schemas.openxmlformats.org/officeDocument/2006/extended-properties">39</Lines>
  <Paragraphs xmlns="http://schemas.openxmlformats.org/officeDocument/2006/extended-properties">11</Paragraphs>
  <TotalTime xmlns="http://schemas.openxmlformats.org/officeDocument/2006/extended-properties">20</TotalTime>
  <ScaleCrop xmlns="http://schemas.openxmlformats.org/officeDocument/2006/extended-properties">false</ScaleCrop>
  <LinksUpToDate xmlns="http://schemas.openxmlformats.org/officeDocument/2006/extended-properties">false</LinksUpToDate>
  <CharactersWithSpaces xmlns="http://schemas.openxmlformats.org/officeDocument/2006/extended-properties">7321</CharactersWithSpaces>
  <Application xmlns="http://schemas.openxmlformats.org/officeDocument/2006/extended-properties">WPS Office_12.1.0.16120_F1E327BC-269C-435d-A152-05C5408002CA</Application>
  <DocSecurity xmlns="http://schemas.openxmlformats.org/officeDocument/2006/extended-properties">0</DocSecurity>
</Properties>
</file>

<file path=customXml/item3.xml><?xml version="1.0" encoding="utf-8"?>
<Properties xmlns="http://schemas.openxmlformats.org/officeDocument/2006/custom-properties" xmlns:vt="http://schemas.openxmlformats.org/officeDocument/2006/docPropsVTypes">
  <property xmlns="http://schemas.openxmlformats.org/officeDocument/2006/custom-properties" fmtid="{D5CDD505-2E9C-101B-9397-08002B2CF9AE}" name="KSOProductBuildVer" pid="2">
    <vt:lpwstr xmlns:vt="http://schemas.openxmlformats.org/officeDocument/2006/docPropsVTypes">2052-12.1.0.16120</vt:lpwstr>
  </property>
  <property xmlns="http://schemas.openxmlformats.org/officeDocument/2006/custom-properties" fmtid="{D5CDD505-2E9C-101B-9397-08002B2CF9AE}" name="ICV" pid="3">
    <vt:lpwstr xmlns:vt="http://schemas.openxmlformats.org/officeDocument/2006/docPropsVTypes">BE74A0D739D449D39430249FABCDC745_13</vt:lpwstr>
  </property>
  <property xmlns="http://schemas.openxmlformats.org/officeDocument/2006/custom-properties" fmtid="{D5CDD505-2E9C-101B-9397-08002B2CF9AE}" name="KSOTemplateDocerSaveRecord" pid="4">
    <vt:lpwstr xmlns:vt="http://schemas.openxmlformats.org/officeDocument/2006/docPropsVTypes">eyJoZGlkIjoiOGMwZTIwMjA5OTI4N2MwODc2NzEzYWVkMzg3YjQ5NmMiLCJ1c2VySWQiOiI0Njk4MCJ9</vt:lpwstr>
  </property>
</Properties>
</file>

<file path=customXml/itemProps1.xml><?xml version="1.0" encoding="utf-8"?>
<ds:datastoreItem xmlns:ds="http://schemas.openxmlformats.org/officeDocument/2006/customXml" ds:itemID="{f4cfa29c-fb8b-49ce-afb3-8f762f97f7a7}">
  <ds:schemaRefs/>
</ds:datastoreItem>
</file>

<file path=customXml/itemProps2.xml><?xml version="1.0" encoding="utf-8"?>
<ds:datastoreItem xmlns:ds="http://schemas.openxmlformats.org/officeDocument/2006/customXml" ds:itemID="{50671ecd-14bd-40df-8667-8438c1cd329c}">
  <ds:schemaRefs/>
</ds:datastoreItem>
</file>

<file path=customXml/itemProps3.xml><?xml version="1.0" encoding="utf-8"?>
<ds:datastoreItem xmlns:ds="http://schemas.openxmlformats.org/officeDocument/2006/customXml" ds:itemID="{a6029f53-8ec2-40d2-b561-bcbe51d93f6d}">
  <ds:schemaRefs/>
</ds:datastoreItem>
</file>

<file path=docProps/app.xml><?xml version="1.0" encoding="utf-8"?>
<Properties xmlns="http://schemas.openxmlformats.org/officeDocument/2006/extended-properties" xmlns:vt="http://schemas.openxmlformats.org/officeDocument/2006/docPropsVTypes">
  <Company>Microsoft China</Company>
  <Pages>14</Pages>
  <Words>4026</Words>
  <Characters>7242</Characters>
  <Lines>1</Lines>
  <Paragraphs>1</Paragraphs>
  <TotalTime>20</TotalTime>
  <ScaleCrop>false</ScaleCrop>
  <LinksUpToDate>false</LinksUpToDate>
  <CharactersWithSpaces>7321</CharactersWithSpaces>
  <Application>WPS Office WWO_base_provider_20250107171338-7e3eb3042c</Application>
  <DocSecurity>0</DocSecurity>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2018-07-05T20:07:00Z</dcterms:created>
  <dc:creator>小刘</dc:creator>
  <cp:lastModifiedBy>C D D</cp:lastModifiedBy>
  <cp:lastPrinted>2021-07-03T01:00:00Z</cp:lastPrinted>
  <dcterms:modified xsi:type="dcterms:W3CDTF">2025-07-29T16:34:14Z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EB0EC76BA17E252E8687886898F8031C_43</vt:lpwstr>
  </property>
</Properties>
</file>