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p>
    <w:p>
      <w:pPr>
        <w:adjustRightInd w:val="0"/>
        <w:snapToGrid w:val="0"/>
        <w:spacing w:line="480" w:lineRule="auto"/>
        <w:jc w:val="center"/>
        <w:rPr>
          <w:rFonts w:hint="eastAsia" w:ascii="Times New Roman" w:hAnsi="Times New Roman" w:eastAsia="黑体" w:cs="Times New Roman"/>
          <w:b/>
          <w:bCs/>
          <w:sz w:val="72"/>
          <w:szCs w:val="48"/>
        </w:rPr>
      </w:pPr>
      <w:r>
        <w:rPr>
          <w:rFonts w:ascii="Times New Roman" w:hAnsi="Times New Roman" w:eastAsia="黑体" w:cs="Times New Roman"/>
          <w:b/>
          <w:bCs/>
          <w:sz w:val="72"/>
          <w:szCs w:val="48"/>
        </w:rPr>
        <w:t>钦州市</w:t>
      </w:r>
      <w:r>
        <w:rPr>
          <w:rFonts w:hint="eastAsia" w:ascii="Times New Roman" w:hAnsi="Times New Roman" w:eastAsia="黑体" w:cs="Times New Roman"/>
          <w:b/>
          <w:bCs/>
          <w:sz w:val="72"/>
          <w:szCs w:val="48"/>
        </w:rPr>
        <w:t>环境管控单元</w:t>
      </w:r>
      <w:r>
        <w:rPr>
          <w:rFonts w:ascii="Times New Roman" w:hAnsi="Times New Roman" w:eastAsia="黑体" w:cs="Times New Roman"/>
          <w:b/>
          <w:bCs/>
          <w:sz w:val="72"/>
          <w:szCs w:val="48"/>
        </w:rPr>
        <w:t>生态</w:t>
      </w:r>
    </w:p>
    <w:p>
      <w:pPr>
        <w:adjustRightInd w:val="0"/>
        <w:snapToGrid w:val="0"/>
        <w:spacing w:line="480" w:lineRule="auto"/>
        <w:jc w:val="center"/>
        <w:rPr>
          <w:rFonts w:hint="eastAsia" w:ascii="Times New Roman" w:hAnsi="Times New Roman" w:eastAsia="黑体" w:cs="Times New Roman"/>
          <w:b/>
          <w:bCs/>
          <w:sz w:val="72"/>
          <w:szCs w:val="48"/>
        </w:rPr>
      </w:pPr>
      <w:r>
        <w:rPr>
          <w:rFonts w:ascii="Times New Roman" w:hAnsi="Times New Roman" w:eastAsia="黑体" w:cs="Times New Roman"/>
          <w:b/>
          <w:bCs/>
          <w:sz w:val="72"/>
          <w:szCs w:val="48"/>
        </w:rPr>
        <w:t>环境准入及管控要求清单</w:t>
      </w:r>
    </w:p>
    <w:p>
      <w:pPr>
        <w:adjustRightInd w:val="0"/>
        <w:snapToGrid w:val="0"/>
        <w:spacing w:line="480" w:lineRule="auto"/>
        <w:jc w:val="center"/>
        <w:rPr>
          <w:rFonts w:ascii="Times New Roman" w:hAnsi="Times New Roman" w:eastAsia="黑体" w:cs="Times New Roman"/>
          <w:b/>
          <w:bCs/>
          <w:sz w:val="72"/>
          <w:szCs w:val="48"/>
        </w:rPr>
      </w:pPr>
      <w:r>
        <w:rPr>
          <w:rFonts w:ascii="Times New Roman" w:hAnsi="Times New Roman" w:eastAsia="黑体" w:cs="Times New Roman"/>
          <w:b/>
          <w:bCs/>
          <w:sz w:val="72"/>
          <w:szCs w:val="48"/>
        </w:rPr>
        <w:t>（试行）</w:t>
      </w:r>
    </w:p>
    <w:p>
      <w:pPr>
        <w:adjustRightInd w:val="0"/>
        <w:snapToGrid w:val="0"/>
        <w:spacing w:line="480" w:lineRule="auto"/>
        <w:jc w:val="center"/>
        <w:rPr>
          <w:rFonts w:ascii="Times New Roman" w:hAnsi="Times New Roman" w:eastAsia="黑体" w:cs="Times New Roman"/>
          <w:b/>
          <w:bCs/>
          <w:sz w:val="52"/>
          <w:szCs w:val="36"/>
        </w:rPr>
      </w:pPr>
    </w:p>
    <w:p>
      <w:pPr>
        <w:adjustRightInd w:val="0"/>
        <w:snapToGrid w:val="0"/>
        <w:spacing w:line="480" w:lineRule="auto"/>
        <w:jc w:val="center"/>
        <w:rPr>
          <w:rFonts w:ascii="Times New Roman" w:hAnsi="Times New Roman" w:eastAsia="黑体" w:cs="Times New Roman"/>
          <w:b/>
          <w:bCs/>
          <w:sz w:val="52"/>
          <w:szCs w:val="36"/>
        </w:rPr>
      </w:pPr>
    </w:p>
    <w:p>
      <w:pPr>
        <w:adjustRightInd w:val="0"/>
        <w:snapToGrid w:val="0"/>
        <w:spacing w:line="480" w:lineRule="auto"/>
        <w:rPr>
          <w:rFonts w:ascii="Times New Roman" w:hAnsi="Times New Roman" w:eastAsia="黑体" w:cs="Times New Roman"/>
          <w:b/>
          <w:bCs/>
          <w:sz w:val="52"/>
          <w:szCs w:val="36"/>
        </w:rPr>
      </w:pPr>
    </w:p>
    <w:p>
      <w:pPr>
        <w:adjustRightInd w:val="0"/>
        <w:snapToGrid w:val="0"/>
        <w:spacing w:line="480" w:lineRule="auto"/>
        <w:rPr>
          <w:rFonts w:ascii="Times New Roman" w:hAnsi="Times New Roman" w:eastAsia="黑体" w:cs="Times New Roman"/>
          <w:b/>
          <w:bCs/>
          <w:sz w:val="52"/>
          <w:szCs w:val="36"/>
        </w:rPr>
      </w:pPr>
    </w:p>
    <w:p>
      <w:pPr>
        <w:adjustRightInd w:val="0"/>
        <w:snapToGrid w:val="0"/>
        <w:spacing w:line="480" w:lineRule="auto"/>
        <w:jc w:val="center"/>
        <w:rPr>
          <w:rFonts w:ascii="Times New Roman" w:hAnsi="Times New Roman" w:eastAsia="黑体" w:cs="Times New Roman"/>
          <w:b/>
          <w:bCs/>
          <w:sz w:val="52"/>
          <w:szCs w:val="36"/>
        </w:rPr>
      </w:pPr>
    </w:p>
    <w:p>
      <w:pPr>
        <w:pStyle w:val="2"/>
        <w:rPr>
          <w:rFonts w:hint="default" w:ascii="Times New Roman" w:hAnsi="Times New Roman" w:eastAsia="黑体"/>
          <w:b/>
          <w:bCs/>
          <w:sz w:val="52"/>
          <w:szCs w:val="36"/>
        </w:rPr>
      </w:pPr>
    </w:p>
    <w:p>
      <w:pPr>
        <w:pStyle w:val="2"/>
        <w:rPr>
          <w:rFonts w:hint="default" w:ascii="Times New Roman" w:hAnsi="Times New Roman" w:eastAsia="黑体"/>
          <w:b/>
          <w:bCs/>
          <w:sz w:val="52"/>
          <w:szCs w:val="36"/>
        </w:rPr>
      </w:pPr>
    </w:p>
    <w:p>
      <w:pPr>
        <w:pStyle w:val="2"/>
        <w:rPr>
          <w:rFonts w:hint="default" w:ascii="Times New Roman" w:hAnsi="Times New Roman" w:eastAsia="黑体"/>
          <w:b/>
          <w:bCs/>
          <w:sz w:val="52"/>
          <w:szCs w:val="36"/>
        </w:rPr>
      </w:pPr>
    </w:p>
    <w:p>
      <w:pPr>
        <w:pStyle w:val="2"/>
        <w:rPr>
          <w:rFonts w:hint="default" w:ascii="Times New Roman" w:hAnsi="Times New Roman" w:eastAsia="黑体"/>
          <w:b/>
          <w:bCs/>
          <w:sz w:val="52"/>
          <w:szCs w:val="36"/>
        </w:rPr>
      </w:pPr>
    </w:p>
    <w:p>
      <w:pPr>
        <w:widowControl/>
        <w:tabs>
          <w:tab w:val="left" w:pos="440"/>
          <w:tab w:val="right" w:leader="dot" w:pos="10244"/>
        </w:tabs>
        <w:spacing w:after="100" w:line="276" w:lineRule="auto"/>
        <w:jc w:val="center"/>
        <w:rPr>
          <w:rFonts w:ascii="Times New Roman" w:hAnsi="Times New Roman" w:eastAsia="宋体" w:cs="Times New Roman"/>
          <w:b/>
          <w:bCs/>
          <w:kern w:val="0"/>
          <w:sz w:val="44"/>
          <w:szCs w:val="48"/>
        </w:rPr>
      </w:pPr>
      <w:r>
        <w:rPr>
          <w:rFonts w:ascii="Times New Roman" w:hAnsi="Times New Roman" w:eastAsia="宋体" w:cs="Times New Roman"/>
          <w:b/>
          <w:bCs/>
          <w:kern w:val="0"/>
          <w:sz w:val="44"/>
          <w:szCs w:val="48"/>
        </w:rPr>
        <w:t>目  录</w:t>
      </w:r>
    </w:p>
    <w:p>
      <w:pPr>
        <w:pStyle w:val="2"/>
        <w:rPr>
          <w:rFonts w:hint="default" w:asciiTheme="minorEastAsia" w:hAnsiTheme="minorEastAsia" w:eastAsiaTheme="minorEastAsia" w:cstheme="minorEastAsia"/>
          <w:b/>
          <w:bCs/>
          <w:sz w:val="32"/>
          <w:szCs w:val="32"/>
        </w:rPr>
      </w:pPr>
    </w:p>
    <w:p>
      <w:pPr>
        <w:pStyle w:val="12"/>
        <w:tabs>
          <w:tab w:val="right" w:pos="2000"/>
          <w:tab w:val="right" w:leader="dot" w:pos="9072"/>
        </w:tabs>
        <w:rPr>
          <w:rFonts w:asciiTheme="minorEastAsia" w:hAnsiTheme="minorEastAsia" w:cstheme="minorEastAsia"/>
          <w:sz w:val="32"/>
          <w:szCs w:val="32"/>
        </w:rPr>
      </w:pPr>
      <w:r>
        <w:rPr>
          <w:rFonts w:hint="eastAsia" w:asciiTheme="minorEastAsia" w:hAnsiTheme="minorEastAsia" w:cstheme="minorEastAsia"/>
          <w:b/>
          <w:bCs/>
          <w:sz w:val="32"/>
          <w:szCs w:val="32"/>
        </w:rPr>
        <w:fldChar w:fldCharType="begin"/>
      </w:r>
      <w:r>
        <w:rPr>
          <w:rFonts w:hint="eastAsia" w:asciiTheme="minorEastAsia" w:hAnsiTheme="minorEastAsia" w:cstheme="minorEastAsia"/>
          <w:b/>
          <w:bCs/>
          <w:sz w:val="32"/>
          <w:szCs w:val="32"/>
        </w:rPr>
        <w:instrText xml:space="preserve">TOC \o "1-2" \h \u </w:instrText>
      </w:r>
      <w:r>
        <w:rPr>
          <w:rFonts w:hint="eastAsia" w:asciiTheme="minorEastAsia" w:hAnsiTheme="minorEastAsia" w:cstheme="minorEastAsia"/>
          <w:b/>
          <w:bCs/>
          <w:sz w:val="32"/>
          <w:szCs w:val="32"/>
        </w:rPr>
        <w:fldChar w:fldCharType="separate"/>
      </w:r>
      <w:r>
        <w:fldChar w:fldCharType="begin"/>
      </w:r>
      <w:r>
        <w:instrText xml:space="preserve"> HYPERLINK \l "_Toc31021" </w:instrText>
      </w:r>
      <w:r>
        <w:fldChar w:fldCharType="separate"/>
      </w:r>
      <w:r>
        <w:rPr>
          <w:rFonts w:hint="eastAsia" w:asciiTheme="minorEastAsia" w:hAnsiTheme="minorEastAsia" w:cstheme="minorEastAsia"/>
          <w:sz w:val="32"/>
          <w:szCs w:val="32"/>
        </w:rPr>
        <w:t>1．钦州市钦南区环境管控单元生态环境准入清单</w:t>
      </w:r>
      <w:r>
        <w:rPr>
          <w:rFonts w:hint="eastAsia" w:asciiTheme="minorEastAsia" w:hAnsiTheme="minorEastAsia" w:cstheme="minorEastAsia"/>
          <w:sz w:val="32"/>
          <w:szCs w:val="32"/>
        </w:rPr>
        <w:tab/>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PAGEREF _Toc31021 \h </w:instrText>
      </w:r>
      <w:r>
        <w:rPr>
          <w:rFonts w:hint="eastAsia" w:asciiTheme="minorEastAsia" w:hAnsiTheme="minorEastAsia" w:cstheme="minorEastAsia"/>
          <w:sz w:val="32"/>
          <w:szCs w:val="32"/>
        </w:rPr>
        <w:fldChar w:fldCharType="separate"/>
      </w:r>
      <w:r>
        <w:rPr>
          <w:rFonts w:hint="eastAsia" w:asciiTheme="minorEastAsia" w:hAnsiTheme="minorEastAsia" w:cstheme="minorEastAsia"/>
          <w:sz w:val="32"/>
          <w:szCs w:val="32"/>
        </w:rPr>
        <w:t>1</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fldChar w:fldCharType="end"/>
      </w:r>
    </w:p>
    <w:p>
      <w:pPr>
        <w:pStyle w:val="12"/>
        <w:tabs>
          <w:tab w:val="right" w:pos="2000"/>
          <w:tab w:val="right" w:leader="dot" w:pos="9072"/>
        </w:tabs>
        <w:rPr>
          <w:rFonts w:asciiTheme="minorEastAsia" w:hAnsiTheme="minorEastAsia" w:cstheme="minorEastAsia"/>
          <w:sz w:val="32"/>
          <w:szCs w:val="32"/>
        </w:rPr>
      </w:pPr>
      <w:r>
        <w:fldChar w:fldCharType="begin"/>
      </w:r>
      <w:r>
        <w:instrText xml:space="preserve"> HYPERLINK \l "_Toc22411" </w:instrText>
      </w:r>
      <w:r>
        <w:fldChar w:fldCharType="separate"/>
      </w:r>
      <w:r>
        <w:rPr>
          <w:rFonts w:hint="eastAsia" w:asciiTheme="minorEastAsia" w:hAnsiTheme="minorEastAsia" w:cstheme="minorEastAsia"/>
          <w:sz w:val="32"/>
          <w:szCs w:val="32"/>
        </w:rPr>
        <w:t>2．钦州市钦北区环境管控单元生态环境准入清单</w:t>
      </w:r>
      <w:r>
        <w:rPr>
          <w:rFonts w:hint="eastAsia" w:asciiTheme="minorEastAsia" w:hAnsiTheme="minorEastAsia" w:cstheme="minorEastAsia"/>
          <w:sz w:val="32"/>
          <w:szCs w:val="32"/>
        </w:rPr>
        <w:tab/>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PAGEREF _Toc22411 \h </w:instrText>
      </w:r>
      <w:r>
        <w:rPr>
          <w:rFonts w:hint="eastAsia" w:asciiTheme="minorEastAsia" w:hAnsiTheme="minorEastAsia" w:cstheme="minorEastAsia"/>
          <w:sz w:val="32"/>
          <w:szCs w:val="32"/>
        </w:rPr>
        <w:fldChar w:fldCharType="separate"/>
      </w:r>
      <w:r>
        <w:rPr>
          <w:rFonts w:hint="eastAsia" w:asciiTheme="minorEastAsia" w:hAnsiTheme="minorEastAsia" w:cstheme="minorEastAsia"/>
          <w:sz w:val="32"/>
          <w:szCs w:val="32"/>
        </w:rPr>
        <w:t>17</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fldChar w:fldCharType="end"/>
      </w:r>
    </w:p>
    <w:p>
      <w:pPr>
        <w:pStyle w:val="12"/>
        <w:tabs>
          <w:tab w:val="right" w:pos="2000"/>
          <w:tab w:val="right" w:leader="dot" w:pos="9072"/>
        </w:tabs>
        <w:rPr>
          <w:rFonts w:asciiTheme="minorEastAsia" w:hAnsiTheme="minorEastAsia" w:cstheme="minorEastAsia"/>
          <w:sz w:val="32"/>
          <w:szCs w:val="32"/>
        </w:rPr>
      </w:pPr>
      <w:r>
        <w:fldChar w:fldCharType="begin"/>
      </w:r>
      <w:r>
        <w:instrText xml:space="preserve"> HYPERLINK \l "_Toc24546" </w:instrText>
      </w:r>
      <w:r>
        <w:fldChar w:fldCharType="separate"/>
      </w:r>
      <w:r>
        <w:rPr>
          <w:rFonts w:hint="eastAsia" w:asciiTheme="minorEastAsia" w:hAnsiTheme="minorEastAsia" w:cstheme="minorEastAsia"/>
          <w:sz w:val="32"/>
          <w:szCs w:val="32"/>
        </w:rPr>
        <w:t>3．钦州市灵山县环境管控单元生态环境准入清单</w:t>
      </w:r>
      <w:r>
        <w:rPr>
          <w:rFonts w:hint="eastAsia" w:asciiTheme="minorEastAsia" w:hAnsiTheme="minorEastAsia" w:cstheme="minorEastAsia"/>
          <w:sz w:val="32"/>
          <w:szCs w:val="32"/>
        </w:rPr>
        <w:tab/>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PAGEREF _Toc24546 \h </w:instrText>
      </w:r>
      <w:r>
        <w:rPr>
          <w:rFonts w:hint="eastAsia" w:asciiTheme="minorEastAsia" w:hAnsiTheme="minorEastAsia" w:cstheme="minorEastAsia"/>
          <w:sz w:val="32"/>
          <w:szCs w:val="32"/>
        </w:rPr>
        <w:fldChar w:fldCharType="separate"/>
      </w:r>
      <w:r>
        <w:rPr>
          <w:rFonts w:hint="eastAsia" w:asciiTheme="minorEastAsia" w:hAnsiTheme="minorEastAsia" w:cstheme="minorEastAsia"/>
          <w:sz w:val="32"/>
          <w:szCs w:val="32"/>
        </w:rPr>
        <w:t>28</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fldChar w:fldCharType="end"/>
      </w:r>
    </w:p>
    <w:p>
      <w:pPr>
        <w:pStyle w:val="12"/>
        <w:tabs>
          <w:tab w:val="right" w:pos="2000"/>
          <w:tab w:val="right" w:leader="dot" w:pos="9072"/>
        </w:tabs>
        <w:rPr>
          <w:rFonts w:asciiTheme="minorEastAsia" w:hAnsiTheme="minorEastAsia" w:cstheme="minorEastAsia"/>
          <w:sz w:val="32"/>
          <w:szCs w:val="32"/>
        </w:rPr>
      </w:pPr>
      <w:r>
        <w:fldChar w:fldCharType="begin"/>
      </w:r>
      <w:r>
        <w:instrText xml:space="preserve"> HYPERLINK \l "_Toc17396" </w:instrText>
      </w:r>
      <w:r>
        <w:fldChar w:fldCharType="separate"/>
      </w:r>
      <w:r>
        <w:rPr>
          <w:rFonts w:hint="eastAsia" w:asciiTheme="minorEastAsia" w:hAnsiTheme="minorEastAsia" w:cstheme="minorEastAsia"/>
          <w:sz w:val="32"/>
          <w:szCs w:val="32"/>
        </w:rPr>
        <w:t>4．钦州市浦北县环境管控单元生态环境准入清单</w:t>
      </w:r>
      <w:r>
        <w:rPr>
          <w:rFonts w:hint="eastAsia" w:asciiTheme="minorEastAsia" w:hAnsiTheme="minorEastAsia" w:cstheme="minorEastAsia"/>
          <w:sz w:val="32"/>
          <w:szCs w:val="32"/>
        </w:rPr>
        <w:tab/>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PAGEREF _Toc17396 \h </w:instrText>
      </w:r>
      <w:r>
        <w:rPr>
          <w:rFonts w:hint="eastAsia" w:asciiTheme="minorEastAsia" w:hAnsiTheme="minorEastAsia" w:cstheme="minorEastAsia"/>
          <w:sz w:val="32"/>
          <w:szCs w:val="32"/>
        </w:rPr>
        <w:fldChar w:fldCharType="separate"/>
      </w:r>
      <w:r>
        <w:rPr>
          <w:rFonts w:hint="eastAsia" w:asciiTheme="minorEastAsia" w:hAnsiTheme="minorEastAsia" w:cstheme="minorEastAsia"/>
          <w:sz w:val="32"/>
          <w:szCs w:val="32"/>
        </w:rPr>
        <w:t>35</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fldChar w:fldCharType="end"/>
      </w:r>
    </w:p>
    <w:p>
      <w:pPr>
        <w:pStyle w:val="12"/>
        <w:tabs>
          <w:tab w:val="right" w:pos="2000"/>
          <w:tab w:val="right" w:leader="dot" w:pos="9072"/>
        </w:tabs>
        <w:rPr>
          <w:rFonts w:asciiTheme="minorEastAsia" w:hAnsiTheme="minorEastAsia" w:cstheme="minorEastAsia"/>
          <w:sz w:val="32"/>
          <w:szCs w:val="32"/>
        </w:rPr>
      </w:pPr>
      <w:r>
        <w:fldChar w:fldCharType="begin"/>
      </w:r>
      <w:r>
        <w:instrText xml:space="preserve"> HYPERLINK \l "_Toc10796" </w:instrText>
      </w:r>
      <w:r>
        <w:fldChar w:fldCharType="separate"/>
      </w:r>
      <w:r>
        <w:rPr>
          <w:rFonts w:hint="eastAsia" w:asciiTheme="minorEastAsia" w:hAnsiTheme="minorEastAsia" w:cstheme="minorEastAsia"/>
          <w:sz w:val="32"/>
          <w:szCs w:val="32"/>
        </w:rPr>
        <w:t>5</w:t>
      </w:r>
      <w:r>
        <w:rPr>
          <w:rFonts w:hint="eastAsia" w:asciiTheme="minorEastAsia" w:hAnsiTheme="minorEastAsia" w:cstheme="minorEastAsia"/>
          <w:sz w:val="32"/>
          <w:szCs w:val="32"/>
        </w:rPr>
        <w:tab/>
      </w:r>
      <w:r>
        <w:rPr>
          <w:rFonts w:hint="eastAsia" w:asciiTheme="minorEastAsia" w:hAnsiTheme="minorEastAsia" w:cstheme="minorEastAsia"/>
          <w:sz w:val="32"/>
          <w:szCs w:val="32"/>
        </w:rPr>
        <w:t>．钦州市近岸海域环境管控单元生态环境准入清单</w:t>
      </w:r>
      <w:r>
        <w:rPr>
          <w:rFonts w:hint="eastAsia" w:asciiTheme="minorEastAsia" w:hAnsiTheme="minorEastAsia" w:cstheme="minorEastAsia"/>
          <w:sz w:val="32"/>
          <w:szCs w:val="32"/>
        </w:rPr>
        <w:tab/>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PAGEREF _Toc10796 \h </w:instrText>
      </w:r>
      <w:r>
        <w:rPr>
          <w:rFonts w:hint="eastAsia" w:asciiTheme="minorEastAsia" w:hAnsiTheme="minorEastAsia" w:cstheme="minorEastAsia"/>
          <w:sz w:val="32"/>
          <w:szCs w:val="32"/>
        </w:rPr>
        <w:fldChar w:fldCharType="separate"/>
      </w:r>
      <w:r>
        <w:rPr>
          <w:rFonts w:hint="eastAsia" w:asciiTheme="minorEastAsia" w:hAnsiTheme="minorEastAsia" w:cstheme="minorEastAsia"/>
          <w:sz w:val="32"/>
          <w:szCs w:val="32"/>
        </w:rPr>
        <w:t>51</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fldChar w:fldCharType="end"/>
      </w:r>
    </w:p>
    <w:p>
      <w:pPr>
        <w:pStyle w:val="2"/>
        <w:rPr>
          <w:rFonts w:hint="default" w:asciiTheme="minorEastAsia" w:hAnsiTheme="minorEastAsia" w:eastAsiaTheme="minorEastAsia" w:cstheme="minorEastAsia"/>
          <w:b/>
          <w:bCs/>
          <w:sz w:val="32"/>
          <w:szCs w:val="32"/>
        </w:rPr>
      </w:pPr>
      <w:r>
        <w:rPr>
          <w:rFonts w:asciiTheme="minorEastAsia" w:hAnsiTheme="minorEastAsia" w:eastAsiaTheme="minorEastAsia" w:cstheme="minorEastAsia"/>
          <w:bCs/>
          <w:sz w:val="32"/>
          <w:szCs w:val="32"/>
        </w:rPr>
        <w:fldChar w:fldCharType="end"/>
      </w:r>
    </w:p>
    <w:p>
      <w:pPr>
        <w:pStyle w:val="2"/>
        <w:rPr>
          <w:rFonts w:hint="default" w:asciiTheme="minorEastAsia" w:hAnsiTheme="minorEastAsia" w:eastAsiaTheme="minorEastAsia" w:cstheme="minorEastAsia"/>
          <w:b/>
          <w:bCs/>
          <w:sz w:val="44"/>
          <w:szCs w:val="48"/>
        </w:rPr>
      </w:pPr>
    </w:p>
    <w:p>
      <w:pPr>
        <w:pStyle w:val="2"/>
        <w:rPr>
          <w:rFonts w:hint="default" w:ascii="Times New Roman" w:hAnsi="Times New Roman" w:eastAsia="宋体"/>
          <w:b/>
          <w:bCs/>
          <w:sz w:val="44"/>
          <w:szCs w:val="48"/>
        </w:rPr>
      </w:pPr>
    </w:p>
    <w:p>
      <w:pPr>
        <w:pStyle w:val="2"/>
        <w:rPr>
          <w:rFonts w:hint="default" w:ascii="Times New Roman" w:hAnsi="Times New Roman" w:eastAsia="宋体"/>
          <w:b/>
          <w:bCs/>
          <w:sz w:val="44"/>
          <w:szCs w:val="48"/>
        </w:rPr>
      </w:pPr>
    </w:p>
    <w:p>
      <w:pPr>
        <w:pStyle w:val="2"/>
        <w:rPr>
          <w:rFonts w:hint="default" w:ascii="Times New Roman" w:hAnsi="Times New Roman" w:eastAsia="宋体"/>
          <w:b/>
          <w:bCs/>
          <w:sz w:val="44"/>
          <w:szCs w:val="48"/>
        </w:rPr>
        <w:sectPr>
          <w:headerReference r:id="rId3" w:type="default"/>
          <w:footerReference r:id="rId5" w:type="default"/>
          <w:headerReference r:id="rId4" w:type="even"/>
          <w:footerReference r:id="rId6" w:type="even"/>
          <w:pgSz w:w="11906" w:h="16838"/>
          <w:pgMar w:top="1417" w:right="1417" w:bottom="1417" w:left="1417" w:header="851" w:footer="992" w:gutter="0"/>
          <w:pgNumType w:fmt="upperRoman" w:start="1"/>
          <w:cols w:space="0" w:num="1"/>
          <w:docGrid w:type="lines" w:linePitch="312" w:charSpace="0"/>
        </w:sectPr>
      </w:pPr>
    </w:p>
    <w:p>
      <w:pPr>
        <w:widowControl/>
        <w:tabs>
          <w:tab w:val="left" w:pos="440"/>
          <w:tab w:val="right" w:leader="dot" w:pos="10244"/>
        </w:tabs>
        <w:spacing w:after="100" w:line="276" w:lineRule="auto"/>
        <w:jc w:val="center"/>
        <w:rPr>
          <w:rFonts w:ascii="Times New Roman" w:hAnsi="Times New Roman" w:cs="Times New Roman"/>
        </w:rPr>
      </w:pPr>
      <w:bookmarkStart w:id="0" w:name="_Toc7848"/>
      <w:r>
        <w:rPr>
          <w:rFonts w:ascii="Times New Roman" w:hAnsi="Times New Roman" w:eastAsia="宋体" w:cs="Times New Roman"/>
          <w:b/>
          <w:bCs/>
          <w:kern w:val="0"/>
          <w:sz w:val="44"/>
          <w:szCs w:val="48"/>
        </w:rPr>
        <w:t>术语和定义</w:t>
      </w:r>
      <w:bookmarkEnd w:id="0"/>
    </w:p>
    <w:p>
      <w:pPr>
        <w:pStyle w:val="2"/>
        <w:jc w:val="both"/>
        <w:rPr>
          <w:rFonts w:hint="default" w:ascii="Times New Roman" w:hAnsi="Times New Roman"/>
          <w:color w:val="auto"/>
        </w:rPr>
      </w:pPr>
      <w:bookmarkStart w:id="1" w:name="_Toc2138"/>
      <w:r>
        <w:rPr>
          <w:rFonts w:hint="default" w:ascii="Times New Roman" w:hAnsi="Times New Roman"/>
          <w:color w:val="auto"/>
        </w:rPr>
        <w:t>一、环境管控单元</w:t>
      </w:r>
      <w:bookmarkEnd w:id="1"/>
    </w:p>
    <w:p>
      <w:pPr>
        <w:numPr>
          <w:ilvl w:val="0"/>
          <w:numId w:val="1"/>
        </w:numPr>
        <w:rPr>
          <w:rFonts w:ascii="Times New Roman" w:hAnsi="Times New Roman" w:cs="Times New Roman"/>
        </w:rPr>
      </w:pPr>
      <w:r>
        <w:rPr>
          <w:rFonts w:ascii="Times New Roman" w:hAnsi="Times New Roman" w:cs="Times New Roman"/>
          <w:b/>
          <w:bCs/>
        </w:rPr>
        <w:t>优先保护单元：</w:t>
      </w:r>
      <w:r>
        <w:rPr>
          <w:rFonts w:ascii="Times New Roman" w:hAnsi="Times New Roman" w:cs="Times New Roman"/>
        </w:rPr>
        <w:t>陆域优先保护单元主要包括生态保护红线、自然保护地、县级以上饮用水水源保护区、环境空气一类功能区等生态功能区域；重点管控单元主要包括工业园区、县级以上城镇中心城区及规划区、矿产开采区、港区等开发强度高、污染物排放强度大的区域，以及环境问题相对集中的区域；一般管控单元为优先保护单元、重点管控单元以外的区域。近岸海域优先保护单元主要包括海洋生态红线的海域。</w:t>
      </w:r>
    </w:p>
    <w:p>
      <w:pPr>
        <w:rPr>
          <w:rFonts w:ascii="Times New Roman" w:hAnsi="Times New Roman" w:cs="Times New Roman"/>
        </w:rPr>
      </w:pPr>
    </w:p>
    <w:p>
      <w:pPr>
        <w:numPr>
          <w:ilvl w:val="0"/>
          <w:numId w:val="1"/>
        </w:numPr>
        <w:rPr>
          <w:rFonts w:ascii="Times New Roman" w:hAnsi="Times New Roman" w:cs="Times New Roman"/>
          <w:szCs w:val="21"/>
        </w:rPr>
      </w:pPr>
      <w:r>
        <w:rPr>
          <w:rFonts w:ascii="Times New Roman" w:hAnsi="Times New Roman" w:cs="Times New Roman"/>
          <w:b/>
          <w:bCs/>
        </w:rPr>
        <w:t>重点管控单元：</w:t>
      </w:r>
      <w:r>
        <w:rPr>
          <w:rFonts w:ascii="Times New Roman" w:hAnsi="Times New Roman" w:cs="Times New Roman"/>
        </w:rPr>
        <w:t>陆域重点管控单元主要包括工业园区、县级以上城镇中心城区及规划区、矿产开采区、港区等开发强度高、污染物排放强度大的区域，以及环境问题相对集中的区域；近岸海域重点管控单元主要包括港口码头、倾废、排污混合、工业与城镇</w:t>
      </w:r>
      <w:r>
        <w:rPr>
          <w:rFonts w:ascii="Times New Roman" w:hAnsi="Times New Roman" w:cs="Times New Roman"/>
          <w:szCs w:val="21"/>
        </w:rPr>
        <w:t>用海、矿产与能源开发利用、特殊利用以及现状水质超标的海域。</w:t>
      </w:r>
    </w:p>
    <w:p>
      <w:pPr>
        <w:rPr>
          <w:rFonts w:ascii="Times New Roman" w:hAnsi="Times New Roman" w:cs="Times New Roman"/>
          <w:szCs w:val="21"/>
        </w:rPr>
      </w:pPr>
    </w:p>
    <w:p>
      <w:pPr>
        <w:numPr>
          <w:ilvl w:val="0"/>
          <w:numId w:val="1"/>
        </w:numPr>
        <w:rPr>
          <w:rFonts w:ascii="Times New Roman" w:hAnsi="Times New Roman" w:cs="Times New Roman"/>
        </w:rPr>
      </w:pPr>
      <w:r>
        <w:rPr>
          <w:rFonts w:ascii="Times New Roman" w:hAnsi="Times New Roman" w:cs="Times New Roman"/>
          <w:b/>
          <w:bCs/>
          <w:szCs w:val="21"/>
        </w:rPr>
        <w:t>一般管控单元：</w:t>
      </w:r>
      <w:r>
        <w:rPr>
          <w:rFonts w:ascii="Times New Roman" w:hAnsi="Times New Roman" w:cs="Times New Roman"/>
          <w:szCs w:val="21"/>
        </w:rPr>
        <w:t>一般管控单元为优先保护单元、重点管控单元以外的区域。</w:t>
      </w:r>
    </w:p>
    <w:p>
      <w:pPr>
        <w:pStyle w:val="2"/>
        <w:spacing w:beforeLines="50"/>
        <w:jc w:val="both"/>
        <w:rPr>
          <w:rFonts w:hint="default" w:ascii="Times New Roman" w:hAnsi="Times New Roman"/>
          <w:color w:val="auto"/>
          <w:szCs w:val="22"/>
        </w:rPr>
      </w:pPr>
      <w:bookmarkStart w:id="2" w:name="_Toc26181"/>
      <w:r>
        <w:rPr>
          <w:rFonts w:hint="default" w:ascii="Times New Roman" w:hAnsi="Times New Roman"/>
          <w:color w:val="auto"/>
          <w:szCs w:val="22"/>
        </w:rPr>
        <w:t>二、生态保护红线及陆域生态分区</w:t>
      </w:r>
      <w:bookmarkEnd w:id="2"/>
    </w:p>
    <w:p>
      <w:pPr>
        <w:numPr>
          <w:ilvl w:val="0"/>
          <w:numId w:val="2"/>
        </w:numPr>
        <w:rPr>
          <w:rFonts w:ascii="Times New Roman" w:hAnsi="Times New Roman" w:cs="Times New Roman"/>
          <w:szCs w:val="21"/>
        </w:rPr>
      </w:pPr>
      <w:r>
        <w:rPr>
          <w:rFonts w:ascii="Times New Roman" w:hAnsi="Times New Roman" w:cs="Times New Roman"/>
          <w:b/>
          <w:bCs/>
          <w:szCs w:val="21"/>
        </w:rPr>
        <w:t>生态保护红线：</w:t>
      </w:r>
      <w:r>
        <w:rPr>
          <w:rFonts w:ascii="Times New Roman" w:hAnsi="Times New Roman" w:cs="Times New Roman"/>
          <w:szCs w:val="21"/>
        </w:rPr>
        <w:t>指在生态空间范围内具有特殊重要生态功能、必须强制性严格保护的区域，是保障和维护国家生态安全的底线和生命线，通常包括具有重要水源涵养、生物多样性维护、水土保持、防风固沙、海岸生态稳定等功能的生态功能重要区域，以及水土流失、土地沙化、石漠化、盐渍化等生态环境敏感脆弱区域。按照“生态功能不降低、面积不减少、性质不改变”的基本要求，实施严格管控。</w:t>
      </w:r>
    </w:p>
    <w:p>
      <w:pPr>
        <w:rPr>
          <w:rFonts w:ascii="Times New Roman" w:hAnsi="Times New Roman" w:cs="Times New Roman"/>
        </w:rPr>
      </w:pPr>
    </w:p>
    <w:p>
      <w:pPr>
        <w:numPr>
          <w:ilvl w:val="0"/>
          <w:numId w:val="2"/>
        </w:numPr>
        <w:rPr>
          <w:rFonts w:ascii="Times New Roman" w:hAnsi="Times New Roman" w:cs="Times New Roman"/>
          <w:szCs w:val="21"/>
        </w:rPr>
      </w:pPr>
      <w:r>
        <w:rPr>
          <w:rFonts w:ascii="Times New Roman" w:hAnsi="Times New Roman" w:cs="Times New Roman"/>
          <w:b/>
          <w:bCs/>
          <w:szCs w:val="21"/>
        </w:rPr>
        <w:t>一般生态空间：</w:t>
      </w:r>
      <w:r>
        <w:rPr>
          <w:rFonts w:ascii="Times New Roman" w:hAnsi="Times New Roman" w:cs="Times New Roman"/>
          <w:szCs w:val="21"/>
        </w:rPr>
        <w:t>指生态保护红线之外具有重要生态功能或生态环境相对敏感区域，是维系生态安全格局的重要组成部分。该区域以生态保护和提供生态产品为主要功能，原则上按照限制发展区进行管理，严格控制开发强度，强化生态功能保育。</w:t>
      </w:r>
    </w:p>
    <w:p>
      <w:pPr>
        <w:rPr>
          <w:rFonts w:ascii="Times New Roman" w:hAnsi="Times New Roman" w:cs="Times New Roman"/>
        </w:rPr>
      </w:pPr>
    </w:p>
    <w:p>
      <w:pPr>
        <w:numPr>
          <w:ilvl w:val="0"/>
          <w:numId w:val="2"/>
        </w:numPr>
        <w:rPr>
          <w:rFonts w:ascii="Times New Roman" w:hAnsi="Times New Roman" w:cs="Times New Roman"/>
          <w:szCs w:val="21"/>
        </w:rPr>
      </w:pPr>
      <w:r>
        <w:rPr>
          <w:rFonts w:ascii="Times New Roman" w:hAnsi="Times New Roman" w:cs="Times New Roman"/>
          <w:b/>
          <w:bCs/>
          <w:szCs w:val="21"/>
        </w:rPr>
        <w:t>自然保护地：</w:t>
      </w:r>
      <w:r>
        <w:rPr>
          <w:rFonts w:ascii="Times New Roman" w:hAnsi="Times New Roman" w:cs="Times New Roman"/>
          <w:szCs w:val="21"/>
        </w:rPr>
        <w:t>指由各级政府依法划定或确认，对重要的自然生态系统、自然遗迹、自然景观及其所承载的自然资源、生态功能和文化价值实施长期保护的陆域或海域。自然保护地包括国家公园、自然保护区及自然公园3种类型。</w:t>
      </w:r>
    </w:p>
    <w:p>
      <w:pPr>
        <w:rPr>
          <w:rFonts w:ascii="Times New Roman" w:hAnsi="Times New Roman" w:cs="Times New Roman"/>
        </w:rPr>
      </w:pPr>
    </w:p>
    <w:p>
      <w:pPr>
        <w:numPr>
          <w:ilvl w:val="0"/>
          <w:numId w:val="2"/>
        </w:numPr>
        <w:rPr>
          <w:rFonts w:ascii="Times New Roman" w:hAnsi="Times New Roman" w:cs="Times New Roman"/>
          <w:szCs w:val="21"/>
        </w:rPr>
      </w:pPr>
      <w:r>
        <w:rPr>
          <w:rFonts w:ascii="Times New Roman" w:hAnsi="Times New Roman" w:cs="Times New Roman"/>
          <w:b/>
          <w:bCs/>
          <w:szCs w:val="21"/>
        </w:rPr>
        <w:t>水源涵养功能（极）重要区：</w:t>
      </w:r>
      <w:r>
        <w:rPr>
          <w:rFonts w:ascii="Times New Roman" w:hAnsi="Times New Roman" w:cs="Times New Roman"/>
          <w:szCs w:val="21"/>
        </w:rPr>
        <w:t>指河流与湖泊的主要水源补给区和源头区，具备拦截滞蓄降水、增强土壤下渗、涵养土壤水分和补充地下水、调节河川流量、增加可利用水资源量的功能。具体区域为生态功能重要性评价和生态环境敏感性评价结果中水源涵养功能重要、（极）重要区域。</w:t>
      </w:r>
    </w:p>
    <w:p>
      <w:pPr>
        <w:rPr>
          <w:rFonts w:ascii="Times New Roman" w:hAnsi="Times New Roman" w:cs="Times New Roman"/>
          <w:szCs w:val="21"/>
        </w:rPr>
      </w:pPr>
    </w:p>
    <w:p>
      <w:pPr>
        <w:numPr>
          <w:ilvl w:val="0"/>
          <w:numId w:val="2"/>
        </w:numPr>
        <w:rPr>
          <w:rFonts w:ascii="Times New Roman" w:hAnsi="Times New Roman" w:cs="Times New Roman"/>
          <w:szCs w:val="21"/>
        </w:rPr>
      </w:pPr>
      <w:r>
        <w:rPr>
          <w:rFonts w:ascii="Times New Roman" w:hAnsi="Times New Roman" w:cs="Times New Roman"/>
          <w:b/>
          <w:bCs/>
          <w:szCs w:val="21"/>
        </w:rPr>
        <w:t>生物多样性维护功能（极）重要区：</w:t>
      </w:r>
      <w:r>
        <w:rPr>
          <w:rFonts w:ascii="Times New Roman" w:hAnsi="Times New Roman" w:cs="Times New Roman"/>
          <w:szCs w:val="21"/>
        </w:rPr>
        <w:t>指重要保护动植物的集中分布区，以及典型生态系统分布区，具有维持基因、物种、生态系统多样性发挥的作用。具体区域为生态功能重要性评价和生态环境敏感性评价结果中生物多样性维护功能重要、（极）重要区域。</w:t>
      </w:r>
    </w:p>
    <w:p>
      <w:pPr>
        <w:rPr>
          <w:rFonts w:ascii="Times New Roman" w:hAnsi="Times New Roman" w:cs="Times New Roman"/>
          <w:szCs w:val="21"/>
        </w:rPr>
      </w:pPr>
    </w:p>
    <w:p>
      <w:pPr>
        <w:numPr>
          <w:ilvl w:val="0"/>
          <w:numId w:val="2"/>
        </w:numPr>
        <w:rPr>
          <w:rFonts w:ascii="Times New Roman" w:hAnsi="Times New Roman" w:cs="Times New Roman"/>
          <w:szCs w:val="21"/>
        </w:rPr>
      </w:pPr>
      <w:r>
        <w:rPr>
          <w:rFonts w:ascii="Times New Roman" w:hAnsi="Times New Roman" w:cs="Times New Roman"/>
          <w:b/>
          <w:bCs/>
          <w:szCs w:val="21"/>
        </w:rPr>
        <w:t>（极）重度石漠化区：</w:t>
      </w:r>
      <w:r>
        <w:rPr>
          <w:rFonts w:ascii="Times New Roman" w:hAnsi="Times New Roman" w:cs="Times New Roman"/>
          <w:szCs w:val="21"/>
        </w:rPr>
        <w:t>指因水土流失而导致出现地表土壤损失、基岩裸露、土地丧失农业利用价值、生态环境退化现象的区域。具体区域为自治区林业局石漠化调查结果中重度、极重度石漠化区域。</w:t>
      </w:r>
    </w:p>
    <w:p>
      <w:pPr>
        <w:numPr>
          <w:ilvl w:val="0"/>
          <w:numId w:val="2"/>
        </w:numPr>
        <w:rPr>
          <w:rFonts w:ascii="Times New Roman" w:hAnsi="Times New Roman" w:cs="Times New Roman"/>
          <w:szCs w:val="21"/>
        </w:rPr>
      </w:pPr>
      <w:r>
        <w:rPr>
          <w:rFonts w:ascii="Times New Roman" w:hAnsi="Times New Roman" w:cs="Times New Roman"/>
          <w:b/>
          <w:bCs/>
          <w:szCs w:val="21"/>
        </w:rPr>
        <w:t>饮用水水源保护区：</w:t>
      </w:r>
      <w:r>
        <w:rPr>
          <w:rFonts w:ascii="Times New Roman" w:hAnsi="Times New Roman" w:cs="Times New Roman"/>
          <w:szCs w:val="21"/>
        </w:rPr>
        <w:t>指为防止饮用水水源地污染、保证水源水质而划定，并要求加以特殊保护的一定范围的水域和陆域。饮用水水源保护区分为一级保护区和二级保护区，必要时可在保护区外划分准保护区。</w:t>
      </w:r>
    </w:p>
    <w:p>
      <w:pPr>
        <w:rPr>
          <w:rFonts w:ascii="Times New Roman" w:hAnsi="Times New Roman" w:cs="Times New Roman"/>
          <w:szCs w:val="21"/>
        </w:rPr>
      </w:pPr>
    </w:p>
    <w:p>
      <w:pPr>
        <w:numPr>
          <w:ilvl w:val="0"/>
          <w:numId w:val="2"/>
        </w:numPr>
        <w:rPr>
          <w:rFonts w:ascii="Times New Roman" w:hAnsi="Times New Roman" w:cs="Times New Roman"/>
          <w:szCs w:val="21"/>
        </w:rPr>
      </w:pPr>
      <w:r>
        <w:rPr>
          <w:rFonts w:ascii="Times New Roman" w:hAnsi="Times New Roman" w:cs="Times New Roman"/>
          <w:b/>
          <w:bCs/>
          <w:szCs w:val="21"/>
        </w:rPr>
        <w:t>公益林：</w:t>
      </w:r>
      <w:r>
        <w:rPr>
          <w:rFonts w:ascii="Times New Roman" w:hAnsi="Times New Roman" w:cs="Times New Roman"/>
          <w:szCs w:val="21"/>
        </w:rPr>
        <w:t>指为维护和改善生态环境，保持生态平衡，保护生物多样性等满足人类社会的生态、社会需求和可持续发展为主体功能，主要提供公益性、社会性产品或服务的森林、林木、林地。国家根据生态保护的需要，将森林生态区位重要或者生态状况脆弱，以发挥生态效益为主要目的的林地和林地上的森林划定为公益林。未划定为公益林的林地和林地上的森林属于商品林。国家对公益林实施严格保护，县级以上人民政府林业主管部门应当有计划地组织公益林经营者对公益林中生态功能低下的疏林、残次林等低质低效林，采取林分改造、森林抚育等措施，提高公益林的质量和生态保护功能。在符合公益林生态区位保护要求和不影响公益林生态功能的前提下，经科学论证，可以合理利用公益林林地资源和森林景观资源，适度开展林下经济、森林旅游等。利用公益林开展上述活动应当严格遵守国家有关规定。</w:t>
      </w:r>
    </w:p>
    <w:p>
      <w:pPr>
        <w:rPr>
          <w:rFonts w:ascii="Times New Roman" w:hAnsi="Times New Roman" w:cs="Times New Roman"/>
          <w:szCs w:val="21"/>
        </w:rPr>
      </w:pPr>
    </w:p>
    <w:p>
      <w:pPr>
        <w:numPr>
          <w:ilvl w:val="0"/>
          <w:numId w:val="2"/>
        </w:numPr>
        <w:rPr>
          <w:rFonts w:ascii="Times New Roman" w:hAnsi="Times New Roman" w:cs="Times New Roman"/>
          <w:szCs w:val="21"/>
        </w:rPr>
      </w:pPr>
      <w:r>
        <w:rPr>
          <w:rFonts w:ascii="Times New Roman" w:hAnsi="Times New Roman" w:cs="Times New Roman"/>
          <w:b/>
          <w:bCs/>
          <w:szCs w:val="21"/>
        </w:rPr>
        <w:t>天然林：</w:t>
      </w:r>
      <w:r>
        <w:rPr>
          <w:rFonts w:ascii="Times New Roman" w:hAnsi="Times New Roman" w:cs="Times New Roman"/>
          <w:szCs w:val="21"/>
        </w:rPr>
        <w:t>指天然起源的森林，包括自然形成与人工促进天然更新或者萌生所形成的森林。国家实行天然林全面保护制度，严格限制天然林采伐，加强天然林管护能力建设，保护和修复天然林资源，逐步提高天然林生态功能。</w:t>
      </w:r>
    </w:p>
    <w:p>
      <w:pPr>
        <w:pStyle w:val="2"/>
        <w:spacing w:beforeLines="50"/>
        <w:jc w:val="both"/>
        <w:rPr>
          <w:rFonts w:hint="default" w:ascii="Times New Roman" w:hAnsi="Times New Roman"/>
          <w:color w:val="auto"/>
          <w:szCs w:val="22"/>
        </w:rPr>
      </w:pPr>
      <w:bookmarkStart w:id="3" w:name="_Toc14506"/>
      <w:r>
        <w:rPr>
          <w:rFonts w:hint="default" w:ascii="Times New Roman" w:hAnsi="Times New Roman"/>
          <w:color w:val="auto"/>
          <w:szCs w:val="22"/>
        </w:rPr>
        <w:t>三、环境质量底线（水、近岸海域、大气、土壤）</w:t>
      </w:r>
      <w:bookmarkEnd w:id="3"/>
    </w:p>
    <w:p>
      <w:pPr>
        <w:numPr>
          <w:ilvl w:val="0"/>
          <w:numId w:val="3"/>
        </w:numPr>
        <w:rPr>
          <w:rFonts w:ascii="Times New Roman" w:hAnsi="Times New Roman" w:cs="Times New Roman"/>
          <w:szCs w:val="21"/>
        </w:rPr>
      </w:pPr>
      <w:r>
        <w:rPr>
          <w:rFonts w:ascii="Times New Roman" w:hAnsi="Times New Roman" w:cs="Times New Roman"/>
          <w:b/>
          <w:bCs/>
          <w:szCs w:val="21"/>
        </w:rPr>
        <w:t>水环境工业污染重点管控区：</w:t>
      </w:r>
      <w:r>
        <w:rPr>
          <w:rFonts w:ascii="Times New Roman" w:hAnsi="Times New Roman" w:cs="Times New Roman"/>
          <w:szCs w:val="21"/>
        </w:rPr>
        <w:t>以工业污染源为主的控制单元。</w:t>
      </w:r>
    </w:p>
    <w:p>
      <w:pPr>
        <w:rPr>
          <w:rFonts w:ascii="Times New Roman" w:hAnsi="Times New Roman" w:cs="Times New Roman"/>
          <w:szCs w:val="21"/>
        </w:rPr>
      </w:pPr>
    </w:p>
    <w:p>
      <w:pPr>
        <w:numPr>
          <w:ilvl w:val="0"/>
          <w:numId w:val="3"/>
        </w:numPr>
        <w:rPr>
          <w:rFonts w:ascii="Times New Roman" w:hAnsi="Times New Roman" w:cs="Times New Roman"/>
          <w:szCs w:val="21"/>
        </w:rPr>
      </w:pPr>
      <w:r>
        <w:rPr>
          <w:rFonts w:ascii="Times New Roman" w:hAnsi="Times New Roman" w:cs="Times New Roman"/>
          <w:b/>
          <w:bCs/>
          <w:szCs w:val="21"/>
        </w:rPr>
        <w:t>水环境农业污染重点管控区：</w:t>
      </w:r>
      <w:r>
        <w:rPr>
          <w:rFonts w:ascii="Times New Roman" w:hAnsi="Times New Roman" w:cs="Times New Roman"/>
          <w:szCs w:val="21"/>
        </w:rPr>
        <w:t>以农业污染源为主的超标控制单元。</w:t>
      </w:r>
    </w:p>
    <w:p>
      <w:pPr>
        <w:rPr>
          <w:rFonts w:ascii="Times New Roman" w:hAnsi="Times New Roman" w:cs="Times New Roman"/>
          <w:szCs w:val="21"/>
        </w:rPr>
      </w:pPr>
    </w:p>
    <w:p>
      <w:pPr>
        <w:numPr>
          <w:ilvl w:val="0"/>
          <w:numId w:val="3"/>
        </w:numPr>
        <w:rPr>
          <w:rFonts w:ascii="Times New Roman" w:hAnsi="Times New Roman" w:cs="Times New Roman"/>
          <w:szCs w:val="28"/>
        </w:rPr>
      </w:pPr>
      <w:r>
        <w:rPr>
          <w:rFonts w:ascii="Times New Roman" w:hAnsi="Times New Roman" w:cs="Times New Roman"/>
          <w:b/>
          <w:bCs/>
          <w:szCs w:val="21"/>
        </w:rPr>
        <w:t>水环境城镇生活污染重点管控区：</w:t>
      </w:r>
      <w:r>
        <w:rPr>
          <w:rFonts w:ascii="Times New Roman" w:hAnsi="Times New Roman" w:cs="Times New Roman"/>
          <w:szCs w:val="21"/>
        </w:rPr>
        <w:t>以城镇生活污染源为</w:t>
      </w:r>
      <w:r>
        <w:rPr>
          <w:rFonts w:ascii="Times New Roman" w:hAnsi="Times New Roman" w:cs="Times New Roman"/>
          <w:szCs w:val="28"/>
        </w:rPr>
        <w:t>主的超标控制单元及县级以上中心城区或人口集聚区。</w:t>
      </w:r>
    </w:p>
    <w:p>
      <w:pPr>
        <w:rPr>
          <w:rFonts w:ascii="Times New Roman" w:hAnsi="Times New Roman" w:cs="Times New Roman"/>
        </w:rPr>
      </w:pPr>
    </w:p>
    <w:p>
      <w:pPr>
        <w:numPr>
          <w:ilvl w:val="0"/>
          <w:numId w:val="3"/>
        </w:numPr>
        <w:rPr>
          <w:rFonts w:ascii="Times New Roman" w:hAnsi="Times New Roman" w:eastAsia="方正仿宋_GBK" w:cs="Times New Roman"/>
          <w:b/>
          <w:bCs/>
          <w:szCs w:val="21"/>
        </w:rPr>
      </w:pPr>
      <w:r>
        <w:rPr>
          <w:rFonts w:ascii="Times New Roman" w:hAnsi="Times New Roman" w:cs="Times New Roman"/>
          <w:b/>
          <w:bCs/>
          <w:szCs w:val="21"/>
        </w:rPr>
        <w:t>水产种质资源保护区：</w:t>
      </w:r>
      <w:r>
        <w:rPr>
          <w:rFonts w:ascii="Times New Roman" w:hAnsi="Times New Roman" w:cs="Times New Roman"/>
          <w:szCs w:val="21"/>
        </w:rPr>
        <w:t>为保护水产种质资源及其生存环境，在具有较高经济价值和遗传育种价值的水产种质资源的主要生长繁育区域，依法划定并予以特殊保护和管理的水域、滩涂及其毗邻的岛礁、陆域。</w:t>
      </w:r>
    </w:p>
    <w:p>
      <w:pPr>
        <w:rPr>
          <w:rFonts w:ascii="Times New Roman" w:hAnsi="Times New Roman" w:cs="Times New Roman"/>
          <w:szCs w:val="21"/>
        </w:rPr>
      </w:pPr>
    </w:p>
    <w:p>
      <w:pPr>
        <w:numPr>
          <w:ilvl w:val="0"/>
          <w:numId w:val="3"/>
        </w:numPr>
        <w:rPr>
          <w:rFonts w:ascii="Times New Roman" w:hAnsi="Times New Roman" w:cs="Times New Roman"/>
          <w:szCs w:val="21"/>
        </w:rPr>
      </w:pPr>
      <w:r>
        <w:rPr>
          <w:rFonts w:ascii="Times New Roman" w:hAnsi="Times New Roman" w:cs="Times New Roman"/>
          <w:b/>
          <w:bCs/>
          <w:szCs w:val="21"/>
        </w:rPr>
        <w:t>江河源头区：</w:t>
      </w:r>
      <w:r>
        <w:rPr>
          <w:rFonts w:ascii="Times New Roman" w:hAnsi="Times New Roman" w:cs="Times New Roman"/>
          <w:szCs w:val="21"/>
        </w:rPr>
        <w:t>以保护水资源为目的，在重要河流的源头河段划出一定范围水域以涵养和保护水源。</w:t>
      </w:r>
    </w:p>
    <w:p>
      <w:pPr>
        <w:rPr>
          <w:rFonts w:ascii="Times New Roman" w:hAnsi="Times New Roman" w:cs="Times New Roman"/>
          <w:b/>
          <w:bCs/>
        </w:rPr>
      </w:pPr>
    </w:p>
    <w:p>
      <w:pPr>
        <w:numPr>
          <w:ilvl w:val="0"/>
          <w:numId w:val="3"/>
        </w:numPr>
        <w:rPr>
          <w:rFonts w:ascii="Times New Roman" w:hAnsi="Times New Roman" w:cs="Times New Roman"/>
          <w:szCs w:val="28"/>
        </w:rPr>
      </w:pPr>
      <w:r>
        <w:rPr>
          <w:rFonts w:ascii="Times New Roman" w:hAnsi="Times New Roman" w:cs="Times New Roman"/>
          <w:b/>
          <w:bCs/>
        </w:rPr>
        <w:t>渔业用海区：</w:t>
      </w:r>
      <w:r>
        <w:rPr>
          <w:rFonts w:ascii="Times New Roman" w:hAnsi="Times New Roman" w:cs="Times New Roman"/>
          <w:szCs w:val="28"/>
        </w:rPr>
        <w:t>以渔业基础设施建设、养殖和捕捞生产等渔业利用为主要功能导向的海域和无居民海岛</w:t>
      </w:r>
    </w:p>
    <w:p>
      <w:pPr>
        <w:rPr>
          <w:rFonts w:ascii="Times New Roman" w:hAnsi="Times New Roman" w:cs="Times New Roman"/>
          <w:szCs w:val="28"/>
        </w:rPr>
      </w:pPr>
    </w:p>
    <w:p>
      <w:pPr>
        <w:numPr>
          <w:ilvl w:val="0"/>
          <w:numId w:val="3"/>
        </w:numPr>
        <w:rPr>
          <w:rFonts w:ascii="Times New Roman" w:hAnsi="Times New Roman" w:cs="Times New Roman"/>
          <w:szCs w:val="28"/>
        </w:rPr>
      </w:pPr>
      <w:r>
        <w:rPr>
          <w:rFonts w:ascii="Times New Roman" w:hAnsi="Times New Roman" w:cs="Times New Roman"/>
          <w:b/>
          <w:bCs/>
        </w:rPr>
        <w:t>交通</w:t>
      </w:r>
      <w:r>
        <w:rPr>
          <w:rFonts w:ascii="Times New Roman" w:hAnsi="Times New Roman" w:cs="Times New Roman"/>
          <w:b/>
          <w:bCs/>
          <w:szCs w:val="21"/>
        </w:rPr>
        <w:t>运输</w:t>
      </w:r>
      <w:r>
        <w:rPr>
          <w:rFonts w:ascii="Times New Roman" w:hAnsi="Times New Roman" w:cs="Times New Roman"/>
          <w:b/>
          <w:bCs/>
        </w:rPr>
        <w:t>用海区：</w:t>
      </w:r>
      <w:r>
        <w:rPr>
          <w:rFonts w:ascii="Times New Roman" w:hAnsi="Times New Roman" w:cs="Times New Roman"/>
          <w:szCs w:val="28"/>
        </w:rPr>
        <w:t>以港口建设、路桥建设、航运等为主要功能导向的海域和无居民海岛。</w:t>
      </w:r>
    </w:p>
    <w:p>
      <w:pPr>
        <w:rPr>
          <w:rFonts w:ascii="Times New Roman" w:hAnsi="Times New Roman" w:cs="Times New Roman"/>
        </w:rPr>
      </w:pPr>
    </w:p>
    <w:p>
      <w:pPr>
        <w:numPr>
          <w:ilvl w:val="0"/>
          <w:numId w:val="3"/>
        </w:numPr>
        <w:rPr>
          <w:rFonts w:ascii="Times New Roman" w:hAnsi="Times New Roman" w:cs="Times New Roman"/>
          <w:szCs w:val="28"/>
        </w:rPr>
      </w:pPr>
      <w:r>
        <w:rPr>
          <w:rFonts w:ascii="Times New Roman" w:hAnsi="Times New Roman" w:cs="Times New Roman"/>
          <w:b/>
          <w:bCs/>
        </w:rPr>
        <w:t>工矿</w:t>
      </w:r>
      <w:r>
        <w:rPr>
          <w:rFonts w:ascii="Times New Roman" w:hAnsi="Times New Roman" w:cs="Times New Roman"/>
          <w:b/>
          <w:bCs/>
          <w:szCs w:val="21"/>
        </w:rPr>
        <w:t>通信用</w:t>
      </w:r>
      <w:r>
        <w:rPr>
          <w:rFonts w:ascii="Times New Roman" w:hAnsi="Times New Roman" w:cs="Times New Roman"/>
          <w:b/>
          <w:bCs/>
        </w:rPr>
        <w:t>海区：</w:t>
      </w:r>
      <w:r>
        <w:rPr>
          <w:rFonts w:ascii="Times New Roman" w:hAnsi="Times New Roman" w:cs="Times New Roman"/>
          <w:szCs w:val="28"/>
        </w:rPr>
        <w:t>以临海工业利用、矿产能源开发和海底工程建设为主要功能导向的海域和无居民海岛。</w:t>
      </w:r>
    </w:p>
    <w:p>
      <w:pPr>
        <w:rPr>
          <w:rFonts w:ascii="Times New Roman" w:hAnsi="Times New Roman" w:cs="Times New Roman"/>
        </w:rPr>
      </w:pPr>
    </w:p>
    <w:p>
      <w:pPr>
        <w:numPr>
          <w:ilvl w:val="0"/>
          <w:numId w:val="3"/>
        </w:numPr>
        <w:rPr>
          <w:rFonts w:ascii="Times New Roman" w:hAnsi="Times New Roman" w:cs="Times New Roman"/>
          <w:szCs w:val="28"/>
        </w:rPr>
      </w:pPr>
      <w:r>
        <w:rPr>
          <w:rFonts w:ascii="Times New Roman" w:hAnsi="Times New Roman" w:cs="Times New Roman"/>
          <w:b/>
          <w:bCs/>
        </w:rPr>
        <w:t>游憩用海区：</w:t>
      </w:r>
      <w:r>
        <w:rPr>
          <w:rFonts w:ascii="Times New Roman" w:hAnsi="Times New Roman" w:cs="Times New Roman"/>
          <w:szCs w:val="28"/>
        </w:rPr>
        <w:t>以开发利用旅游资源为主要功能导向的海域和无居民海岛。</w:t>
      </w:r>
    </w:p>
    <w:p>
      <w:pPr>
        <w:rPr>
          <w:rFonts w:ascii="Times New Roman" w:hAnsi="Times New Roman" w:cs="Times New Roman"/>
        </w:rPr>
      </w:pPr>
    </w:p>
    <w:p>
      <w:pPr>
        <w:numPr>
          <w:ilvl w:val="0"/>
          <w:numId w:val="3"/>
        </w:numPr>
        <w:rPr>
          <w:rFonts w:ascii="Times New Roman" w:hAnsi="Times New Roman" w:cs="Times New Roman"/>
          <w:szCs w:val="28"/>
        </w:rPr>
      </w:pPr>
      <w:r>
        <w:rPr>
          <w:rFonts w:ascii="Times New Roman" w:hAnsi="Times New Roman" w:cs="Times New Roman"/>
          <w:b/>
          <w:bCs/>
        </w:rPr>
        <w:t>特殊用海区：</w:t>
      </w:r>
      <w:r>
        <w:rPr>
          <w:rFonts w:ascii="Times New Roman" w:hAnsi="Times New Roman" w:cs="Times New Roman"/>
          <w:szCs w:val="28"/>
        </w:rPr>
        <w:t>以污水达标排放、倾倒、军事等特殊利用为主要功能导向的海域和无居民海岛。</w:t>
      </w:r>
    </w:p>
    <w:p>
      <w:pPr>
        <w:numPr>
          <w:ilvl w:val="0"/>
          <w:numId w:val="3"/>
        </w:numPr>
        <w:rPr>
          <w:rFonts w:ascii="Times New Roman" w:hAnsi="Times New Roman" w:cs="Times New Roman"/>
          <w:szCs w:val="28"/>
        </w:rPr>
      </w:pPr>
      <w:r>
        <w:rPr>
          <w:rFonts w:ascii="Times New Roman" w:hAnsi="Times New Roman" w:cs="Times New Roman"/>
          <w:b/>
          <w:bCs/>
        </w:rPr>
        <w:t>海洋预留区：</w:t>
      </w:r>
      <w:r>
        <w:rPr>
          <w:rFonts w:ascii="Times New Roman" w:hAnsi="Times New Roman" w:cs="Times New Roman"/>
          <w:szCs w:val="28"/>
        </w:rPr>
        <w:t>规划期内为重大项目用海用岛预留的控制性后备发展区域。</w:t>
      </w:r>
    </w:p>
    <w:p>
      <w:pPr>
        <w:numPr>
          <w:ilvl w:val="0"/>
          <w:numId w:val="3"/>
        </w:numPr>
        <w:rPr>
          <w:rFonts w:ascii="Times New Roman" w:hAnsi="Times New Roman" w:cs="Times New Roman"/>
        </w:rPr>
      </w:pPr>
      <w:r>
        <w:rPr>
          <w:rFonts w:ascii="Times New Roman" w:hAnsi="Times New Roman" w:cs="Times New Roman"/>
          <w:b/>
          <w:bCs/>
          <w:szCs w:val="21"/>
        </w:rPr>
        <w:t>大气环境一类功能区：</w:t>
      </w:r>
      <w:r>
        <w:rPr>
          <w:rFonts w:ascii="Times New Roman" w:hAnsi="Times New Roman" w:cs="Times New Roman"/>
          <w:szCs w:val="21"/>
        </w:rPr>
        <w:t>各市人民政府根据《环境空气质量功能区划分原则与技术方法》（HJ14-1996）划分的执行环境空气质量一级标准的区域。</w:t>
      </w:r>
    </w:p>
    <w:p>
      <w:pPr>
        <w:rPr>
          <w:rFonts w:ascii="Times New Roman" w:hAnsi="Times New Roman" w:cs="Times New Roman"/>
        </w:rPr>
      </w:pPr>
    </w:p>
    <w:p>
      <w:pPr>
        <w:numPr>
          <w:ilvl w:val="0"/>
          <w:numId w:val="3"/>
        </w:numPr>
        <w:rPr>
          <w:rFonts w:ascii="Times New Roman" w:hAnsi="Times New Roman" w:cs="Times New Roman"/>
          <w:szCs w:val="21"/>
        </w:rPr>
      </w:pPr>
      <w:r>
        <w:rPr>
          <w:rFonts w:ascii="Times New Roman" w:hAnsi="Times New Roman" w:cs="Times New Roman"/>
          <w:b/>
          <w:bCs/>
          <w:szCs w:val="21"/>
        </w:rPr>
        <w:t>大气环境受体敏感重点管控区：</w:t>
      </w:r>
      <w:r>
        <w:rPr>
          <w:rFonts w:ascii="Times New Roman" w:hAnsi="Times New Roman" w:cs="Times New Roman"/>
          <w:szCs w:val="21"/>
        </w:rPr>
        <w:t>广西县级及以上城镇集中居住、医疗、教育中心、城镇开发区、人口密集区。</w:t>
      </w:r>
    </w:p>
    <w:p>
      <w:pPr>
        <w:rPr>
          <w:rFonts w:ascii="Times New Roman" w:hAnsi="Times New Roman" w:cs="Times New Roman"/>
          <w:szCs w:val="21"/>
        </w:rPr>
      </w:pPr>
    </w:p>
    <w:p>
      <w:pPr>
        <w:numPr>
          <w:ilvl w:val="0"/>
          <w:numId w:val="3"/>
        </w:numPr>
        <w:rPr>
          <w:rFonts w:ascii="Times New Roman" w:hAnsi="Times New Roman" w:cs="Times New Roman"/>
          <w:szCs w:val="21"/>
        </w:rPr>
      </w:pPr>
      <w:r>
        <w:rPr>
          <w:rFonts w:ascii="Times New Roman" w:hAnsi="Times New Roman" w:cs="Times New Roman"/>
          <w:b/>
          <w:bCs/>
          <w:szCs w:val="21"/>
        </w:rPr>
        <w:t>大气环境高排放重点管控区：</w:t>
      </w:r>
      <w:r>
        <w:rPr>
          <w:rFonts w:ascii="Times New Roman" w:hAnsi="Times New Roman" w:cs="Times New Roman"/>
          <w:szCs w:val="21"/>
        </w:rPr>
        <w:t>广西县级及以上工业园区，产业集聚区、港口和码头等区域。</w:t>
      </w:r>
      <w:r>
        <w:rPr>
          <w:rFonts w:ascii="Times New Roman" w:hAnsi="Times New Roman" w:cs="Times New Roman"/>
          <w:szCs w:val="21"/>
        </w:rPr>
        <w:br w:type="textWrapping"/>
      </w:r>
    </w:p>
    <w:p>
      <w:pPr>
        <w:numPr>
          <w:ilvl w:val="0"/>
          <w:numId w:val="3"/>
        </w:numPr>
        <w:rPr>
          <w:rFonts w:ascii="Times New Roman" w:hAnsi="Times New Roman" w:cs="Times New Roman"/>
          <w:szCs w:val="21"/>
        </w:rPr>
      </w:pPr>
      <w:r>
        <w:rPr>
          <w:rFonts w:ascii="Times New Roman" w:hAnsi="Times New Roman" w:cs="Times New Roman"/>
          <w:b/>
          <w:bCs/>
          <w:szCs w:val="21"/>
        </w:rPr>
        <w:t>大气环境布局敏感重点管控区：</w:t>
      </w:r>
      <w:r>
        <w:rPr>
          <w:rFonts w:ascii="Times New Roman" w:hAnsi="Times New Roman" w:cs="Times New Roman"/>
          <w:szCs w:val="21"/>
        </w:rPr>
        <w:t>大气扩散通道、环流通道等，影响周边空气质量的区域。</w:t>
      </w:r>
      <w:r>
        <w:rPr>
          <w:rFonts w:ascii="Times New Roman" w:hAnsi="Times New Roman" w:cs="Times New Roman"/>
          <w:szCs w:val="21"/>
        </w:rPr>
        <w:br w:type="textWrapping"/>
      </w:r>
    </w:p>
    <w:p>
      <w:pPr>
        <w:numPr>
          <w:ilvl w:val="0"/>
          <w:numId w:val="3"/>
        </w:numPr>
        <w:rPr>
          <w:rFonts w:ascii="Times New Roman" w:hAnsi="Times New Roman" w:cs="Times New Roman"/>
        </w:rPr>
      </w:pPr>
      <w:r>
        <w:rPr>
          <w:rFonts w:ascii="Times New Roman" w:hAnsi="Times New Roman" w:cs="Times New Roman"/>
          <w:b/>
          <w:bCs/>
          <w:szCs w:val="21"/>
        </w:rPr>
        <w:t>大气环境弱扩散重点管控区：</w:t>
      </w:r>
      <w:r>
        <w:rPr>
          <w:rFonts w:ascii="Times New Roman" w:hAnsi="Times New Roman" w:cs="Times New Roman"/>
          <w:szCs w:val="21"/>
        </w:rPr>
        <w:t>气象扩散条件较差，易导致大气污染物聚集，影响本地空气质量的区域。</w:t>
      </w:r>
    </w:p>
    <w:p>
      <w:pPr>
        <w:rPr>
          <w:rFonts w:ascii="Times New Roman" w:hAnsi="Times New Roman" w:cs="Times New Roman"/>
        </w:rPr>
      </w:pPr>
    </w:p>
    <w:p>
      <w:pPr>
        <w:numPr>
          <w:ilvl w:val="0"/>
          <w:numId w:val="3"/>
        </w:numPr>
        <w:rPr>
          <w:rFonts w:ascii="Times New Roman" w:hAnsi="Times New Roman" w:cs="Times New Roman"/>
          <w:b/>
          <w:bCs/>
        </w:rPr>
      </w:pPr>
      <w:r>
        <w:rPr>
          <w:rFonts w:ascii="Times New Roman" w:hAnsi="Times New Roman" w:cs="Times New Roman"/>
          <w:b/>
          <w:bCs/>
          <w:szCs w:val="21"/>
        </w:rPr>
        <w:t>建设用地污染风险重点管控区：</w:t>
      </w:r>
      <w:r>
        <w:rPr>
          <w:rFonts w:ascii="Times New Roman" w:hAnsi="Times New Roman" w:cs="Times New Roman"/>
          <w:szCs w:val="21"/>
        </w:rPr>
        <w:t>包括污染地块、土壤污染重点监管单位、涉重金属重点行业企业、土壤污染风险管控和修复地块、尾矿库</w:t>
      </w:r>
      <w:r>
        <w:rPr>
          <w:rFonts w:ascii="Times New Roman" w:hAnsi="Times New Roman" w:cs="Times New Roman"/>
          <w:szCs w:val="28"/>
        </w:rPr>
        <w:t>。</w:t>
      </w:r>
    </w:p>
    <w:p>
      <w:pPr>
        <w:rPr>
          <w:rFonts w:ascii="Times New Roman" w:hAnsi="Times New Roman" w:cs="Times New Roman"/>
        </w:rPr>
      </w:pPr>
    </w:p>
    <w:p>
      <w:pPr>
        <w:numPr>
          <w:ilvl w:val="0"/>
          <w:numId w:val="3"/>
        </w:numPr>
        <w:rPr>
          <w:rFonts w:ascii="Times New Roman" w:hAnsi="Times New Roman" w:cs="Times New Roman"/>
          <w:szCs w:val="28"/>
        </w:rPr>
      </w:pPr>
      <w:r>
        <w:rPr>
          <w:rFonts w:ascii="Times New Roman" w:hAnsi="Times New Roman" w:cs="Times New Roman"/>
          <w:b/>
          <w:bCs/>
        </w:rPr>
        <w:t>污染地块：</w:t>
      </w:r>
      <w:r>
        <w:rPr>
          <w:rFonts w:ascii="Times New Roman" w:hAnsi="Times New Roman" w:cs="Times New Roman"/>
          <w:szCs w:val="28"/>
        </w:rPr>
        <w:t>是指因生产、经营、使用、贮存危险化学品或者其他有毒有害物质，堆放或者处理、处置生活垃圾、危险废物等固体废物或者其他有害废物，以及从事矿山开采等活动，土壤及地下水中污染物含量超过国家相关标准、存在人体健康或者生态环境风险的建设用地。</w:t>
      </w:r>
    </w:p>
    <w:p>
      <w:pPr>
        <w:rPr>
          <w:rFonts w:ascii="Times New Roman" w:hAnsi="Times New Roman" w:cs="Times New Roman"/>
          <w:b/>
          <w:bCs/>
        </w:rPr>
      </w:pPr>
    </w:p>
    <w:p>
      <w:pPr>
        <w:numPr>
          <w:ilvl w:val="0"/>
          <w:numId w:val="3"/>
        </w:numPr>
        <w:rPr>
          <w:rFonts w:ascii="Times New Roman" w:hAnsi="Times New Roman" w:cs="Times New Roman"/>
          <w:b/>
          <w:bCs/>
        </w:rPr>
      </w:pPr>
      <w:r>
        <w:rPr>
          <w:rFonts w:ascii="Times New Roman" w:hAnsi="Times New Roman" w:cs="Times New Roman"/>
          <w:b/>
          <w:bCs/>
        </w:rPr>
        <w:t>土壤污染重点监管单位：</w:t>
      </w:r>
      <w:r>
        <w:rPr>
          <w:rFonts w:ascii="Times New Roman" w:hAnsi="Times New Roman" w:cs="Times New Roman"/>
          <w:szCs w:val="28"/>
        </w:rPr>
        <w:t>主要包括以下行业企业，①有色金属冶炼、石油加工、化工、焦化、电镀、制革等行业中应当纳入排污许可重点管理的企业；②有色金属矿采选、石油开采行业规模以上企业；③其他根据有关规定纳入土壤环境污染重点监管单位名录的企事业单位。</w:t>
      </w:r>
    </w:p>
    <w:p>
      <w:pPr>
        <w:rPr>
          <w:rFonts w:ascii="Times New Roman" w:hAnsi="Times New Roman" w:cs="Times New Roman"/>
          <w:b/>
          <w:bCs/>
        </w:rPr>
      </w:pPr>
    </w:p>
    <w:p>
      <w:pPr>
        <w:numPr>
          <w:ilvl w:val="0"/>
          <w:numId w:val="3"/>
        </w:numPr>
        <w:rPr>
          <w:rFonts w:ascii="Times New Roman" w:hAnsi="Times New Roman" w:cs="Times New Roman"/>
          <w:szCs w:val="28"/>
        </w:rPr>
      </w:pPr>
      <w:r>
        <w:rPr>
          <w:rFonts w:ascii="Times New Roman" w:hAnsi="Times New Roman" w:cs="Times New Roman"/>
          <w:b/>
          <w:bCs/>
        </w:rPr>
        <w:t>涉重金属重点行业企业：</w:t>
      </w:r>
      <w:r>
        <w:rPr>
          <w:rFonts w:ascii="Times New Roman" w:hAnsi="Times New Roman" w:cs="Times New Roman"/>
          <w:szCs w:val="28"/>
        </w:rPr>
        <w:t>涉重金属重点行业主要包括：重有色金属矿（含伴生矿）采选业（铜、铅锌、镍钴、锡、锑和汞矿采选业等）、重有色金属（含再生有色金属）冶炼业（铜、铅锌、镍钴、锡、锑和汞冶炼等）、铅蓄电池制造业、皮革及其制品业（皮革鞣制加工等）、电镀行业（包括专业电镀企业和设置电镀生产车间企业）和化学原料及化学制品制造业（电石法聚氯乙烯行业、铬盐行业）等六大行业。重点重金属污染物主要包括：废水、废气中的铅、汞、镉、铬和类金属砷等5种。</w:t>
      </w:r>
    </w:p>
    <w:p>
      <w:pPr>
        <w:rPr>
          <w:rFonts w:ascii="Times New Roman" w:hAnsi="Times New Roman" w:eastAsia="宋体" w:cs="Times New Roman"/>
          <w:color w:val="333333"/>
          <w:szCs w:val="21"/>
          <w:shd w:val="clear" w:color="auto" w:fill="FFFFFF"/>
        </w:rPr>
      </w:pPr>
    </w:p>
    <w:p>
      <w:pPr>
        <w:numPr>
          <w:ilvl w:val="0"/>
          <w:numId w:val="3"/>
        </w:numPr>
        <w:rPr>
          <w:rFonts w:ascii="Times New Roman" w:hAnsi="Times New Roman" w:cs="Times New Roman"/>
          <w:szCs w:val="28"/>
        </w:rPr>
      </w:pPr>
      <w:r>
        <w:rPr>
          <w:rFonts w:ascii="Times New Roman" w:hAnsi="Times New Roman" w:cs="Times New Roman"/>
          <w:b/>
          <w:bCs/>
        </w:rPr>
        <w:t>土壤污染风险管控和修复地块：</w:t>
      </w:r>
      <w:r>
        <w:rPr>
          <w:rFonts w:ascii="Times New Roman" w:hAnsi="Times New Roman" w:cs="Times New Roman"/>
          <w:szCs w:val="28"/>
        </w:rPr>
        <w:t>国家实行建设用地土壤污染风险管控和修复名录制度。建设用地土壤污染风险管控和修复名录由省级人民政府生态环境主管部门会同自然资源等主管部门制定，按照规定向社会公开，并根据风险管控、修复情况适时更新。</w:t>
      </w:r>
    </w:p>
    <w:p>
      <w:pPr>
        <w:rPr>
          <w:rFonts w:ascii="Times New Roman" w:hAnsi="Times New Roman" w:cs="Times New Roman"/>
          <w:b/>
          <w:bCs/>
        </w:rPr>
      </w:pPr>
    </w:p>
    <w:p>
      <w:pPr>
        <w:numPr>
          <w:ilvl w:val="0"/>
          <w:numId w:val="3"/>
        </w:numPr>
        <w:rPr>
          <w:rFonts w:ascii="Times New Roman" w:hAnsi="Times New Roman" w:cs="Times New Roman"/>
          <w:szCs w:val="22"/>
        </w:rPr>
      </w:pPr>
      <w:r>
        <w:rPr>
          <w:rFonts w:ascii="Times New Roman" w:hAnsi="Times New Roman" w:cs="Times New Roman"/>
          <w:b/>
          <w:bCs/>
        </w:rPr>
        <w:t>尾矿库：</w:t>
      </w:r>
      <w:r>
        <w:rPr>
          <w:rFonts w:ascii="Times New Roman" w:hAnsi="Times New Roman" w:cs="Times New Roman"/>
          <w:szCs w:val="28"/>
        </w:rPr>
        <w:t>指贮存金属、非金属矿山矿石选别后排出尾矿的场所。本清单所称的尾矿库是指纳入主管部门（应急管理部门）尾矿库清单的尾矿库。</w:t>
      </w:r>
    </w:p>
    <w:p>
      <w:pPr>
        <w:pStyle w:val="2"/>
        <w:spacing w:beforeLines="50"/>
        <w:jc w:val="both"/>
        <w:rPr>
          <w:rFonts w:hint="default" w:ascii="Times New Roman" w:hAnsi="Times New Roman"/>
          <w:color w:val="auto"/>
        </w:rPr>
      </w:pPr>
      <w:bookmarkStart w:id="4" w:name="_Toc32123"/>
      <w:r>
        <w:rPr>
          <w:rFonts w:hint="default" w:ascii="Times New Roman" w:hAnsi="Times New Roman"/>
          <w:color w:val="auto"/>
          <w:szCs w:val="22"/>
        </w:rPr>
        <w:t>四、</w:t>
      </w:r>
      <w:r>
        <w:rPr>
          <w:rFonts w:hint="default" w:ascii="Times New Roman" w:hAnsi="Times New Roman"/>
          <w:color w:val="auto"/>
          <w:szCs w:val="32"/>
        </w:rPr>
        <w:t>资源</w:t>
      </w:r>
      <w:r>
        <w:rPr>
          <w:rFonts w:hint="default" w:ascii="Times New Roman" w:hAnsi="Times New Roman"/>
          <w:color w:val="auto"/>
          <w:szCs w:val="22"/>
        </w:rPr>
        <w:t>利用</w:t>
      </w:r>
      <w:r>
        <w:rPr>
          <w:rFonts w:hint="default" w:ascii="Times New Roman" w:hAnsi="Times New Roman"/>
          <w:color w:val="auto"/>
          <w:szCs w:val="32"/>
        </w:rPr>
        <w:t>上线</w:t>
      </w:r>
      <w:r>
        <w:rPr>
          <w:rFonts w:hint="default" w:ascii="Times New Roman" w:hAnsi="Times New Roman"/>
          <w:color w:val="auto"/>
          <w:szCs w:val="22"/>
        </w:rPr>
        <w:t>（能源、矿产）</w:t>
      </w:r>
      <w:bookmarkEnd w:id="4"/>
    </w:p>
    <w:p>
      <w:pPr>
        <w:numPr>
          <w:ilvl w:val="0"/>
          <w:numId w:val="4"/>
        </w:numPr>
        <w:rPr>
          <w:rFonts w:ascii="Times New Roman" w:hAnsi="Times New Roman" w:cs="Times New Roman"/>
          <w:szCs w:val="28"/>
        </w:rPr>
      </w:pPr>
      <w:r>
        <w:rPr>
          <w:rFonts w:ascii="Times New Roman" w:hAnsi="Times New Roman" w:cs="Times New Roman"/>
          <w:b/>
          <w:bCs/>
        </w:rPr>
        <w:t>高污染燃料禁燃区：</w:t>
      </w:r>
      <w:r>
        <w:rPr>
          <w:rFonts w:ascii="Times New Roman" w:hAnsi="Times New Roman" w:cs="Times New Roman"/>
          <w:szCs w:val="28"/>
        </w:rPr>
        <w:t>为改善城市大气环境质量，按照《中华人民共和国大气污染防治法》相关要求，划定的禁止销售、使用高污染燃料的区域。</w:t>
      </w:r>
      <w:r>
        <w:rPr>
          <w:rFonts w:ascii="Times New Roman" w:hAnsi="Times New Roman" w:cs="Times New Roman"/>
          <w:szCs w:val="28"/>
        </w:rPr>
        <w:br w:type="textWrapping"/>
      </w:r>
    </w:p>
    <w:p>
      <w:pPr>
        <w:numPr>
          <w:ilvl w:val="0"/>
          <w:numId w:val="4"/>
        </w:numPr>
        <w:rPr>
          <w:rFonts w:ascii="Times New Roman" w:hAnsi="Times New Roman" w:cs="Times New Roman"/>
          <w:szCs w:val="28"/>
        </w:rPr>
      </w:pPr>
      <w:r>
        <w:rPr>
          <w:rFonts w:ascii="Times New Roman" w:hAnsi="Times New Roman" w:cs="Times New Roman"/>
          <w:b/>
          <w:bCs/>
          <w:szCs w:val="21"/>
        </w:rPr>
        <w:t>矿产</w:t>
      </w:r>
      <w:r>
        <w:rPr>
          <w:rFonts w:ascii="Times New Roman" w:hAnsi="Times New Roman" w:cs="Times New Roman"/>
          <w:b/>
          <w:bCs/>
        </w:rPr>
        <w:t>资源重点管控区：</w:t>
      </w:r>
      <w:r>
        <w:rPr>
          <w:rFonts w:ascii="Times New Roman" w:hAnsi="Times New Roman" w:cs="Times New Roman"/>
          <w:szCs w:val="28"/>
        </w:rPr>
        <w:t>指纳入市级以上矿产资源总体规划的区域，包括重点矿区、合法采矿权、勘查规划区块、开采规划区块、矿产开发项目、战略性矿产。</w:t>
      </w:r>
    </w:p>
    <w:p>
      <w:pPr>
        <w:numPr>
          <w:ilvl w:val="0"/>
          <w:numId w:val="4"/>
        </w:numPr>
        <w:rPr>
          <w:rFonts w:ascii="Times New Roman" w:hAnsi="Times New Roman" w:cs="Times New Roman"/>
          <w:szCs w:val="28"/>
        </w:rPr>
      </w:pPr>
      <w:r>
        <w:rPr>
          <w:rFonts w:ascii="Times New Roman" w:hAnsi="Times New Roman" w:cs="Times New Roman"/>
          <w:b/>
          <w:bCs/>
        </w:rPr>
        <w:t>重点矿区：</w:t>
      </w:r>
      <w:r>
        <w:rPr>
          <w:rFonts w:ascii="Times New Roman" w:hAnsi="Times New Roman" w:cs="Times New Roman"/>
          <w:szCs w:val="28"/>
        </w:rPr>
        <w:t>指以战略性矿产或区域优势特色矿产为主，所划定的资源储量大、资源条件好、具有开发利用基础、对全国资源开发具有举足轻重作用的大型矿产地和集矿区。</w:t>
      </w:r>
      <w:r>
        <w:rPr>
          <w:rFonts w:ascii="Times New Roman" w:hAnsi="Times New Roman" w:cs="Times New Roman"/>
          <w:szCs w:val="28"/>
        </w:rPr>
        <w:br w:type="textWrapping"/>
      </w:r>
    </w:p>
    <w:p>
      <w:pPr>
        <w:numPr>
          <w:ilvl w:val="0"/>
          <w:numId w:val="4"/>
        </w:numPr>
        <w:rPr>
          <w:rFonts w:ascii="Times New Roman" w:hAnsi="Times New Roman" w:cs="Times New Roman"/>
          <w:szCs w:val="28"/>
        </w:rPr>
      </w:pPr>
      <w:r>
        <w:rPr>
          <w:rFonts w:ascii="Times New Roman" w:hAnsi="Times New Roman" w:cs="Times New Roman"/>
          <w:b/>
          <w:bCs/>
        </w:rPr>
        <w:t>合法</w:t>
      </w:r>
      <w:r>
        <w:rPr>
          <w:rFonts w:ascii="Times New Roman" w:hAnsi="Times New Roman" w:cs="Times New Roman"/>
          <w:b/>
          <w:bCs/>
          <w:szCs w:val="21"/>
        </w:rPr>
        <w:t>采矿权</w:t>
      </w:r>
      <w:r>
        <w:rPr>
          <w:rFonts w:ascii="Times New Roman" w:hAnsi="Times New Roman" w:cs="Times New Roman"/>
          <w:b/>
          <w:bCs/>
        </w:rPr>
        <w:t>：</w:t>
      </w:r>
      <w:r>
        <w:rPr>
          <w:rFonts w:ascii="Times New Roman" w:hAnsi="Times New Roman" w:cs="Times New Roman"/>
          <w:szCs w:val="28"/>
        </w:rPr>
        <w:t>指已获得政府部门颁发的采矿授权，并依据法律规定对矿产资源所享有的开采、利用、收益和管理的权利。</w:t>
      </w:r>
      <w:r>
        <w:rPr>
          <w:rFonts w:ascii="Times New Roman" w:hAnsi="Times New Roman" w:cs="Times New Roman"/>
          <w:szCs w:val="28"/>
        </w:rPr>
        <w:br w:type="textWrapping"/>
      </w:r>
    </w:p>
    <w:p>
      <w:pPr>
        <w:numPr>
          <w:ilvl w:val="0"/>
          <w:numId w:val="4"/>
        </w:numPr>
        <w:rPr>
          <w:rFonts w:ascii="Times New Roman" w:hAnsi="Times New Roman" w:cs="Times New Roman"/>
          <w:szCs w:val="28"/>
        </w:rPr>
      </w:pPr>
      <w:r>
        <w:rPr>
          <w:rFonts w:ascii="Times New Roman" w:hAnsi="Times New Roman" w:cs="Times New Roman"/>
          <w:b/>
          <w:bCs/>
        </w:rPr>
        <w:t>勘查</w:t>
      </w:r>
      <w:r>
        <w:rPr>
          <w:rFonts w:ascii="Times New Roman" w:hAnsi="Times New Roman" w:cs="Times New Roman"/>
          <w:b/>
          <w:bCs/>
          <w:szCs w:val="21"/>
        </w:rPr>
        <w:t>规划</w:t>
      </w:r>
      <w:r>
        <w:rPr>
          <w:rFonts w:ascii="Times New Roman" w:hAnsi="Times New Roman" w:cs="Times New Roman"/>
          <w:b/>
          <w:bCs/>
        </w:rPr>
        <w:t>区块：</w:t>
      </w:r>
      <w:r>
        <w:rPr>
          <w:rFonts w:ascii="Times New Roman" w:hAnsi="Times New Roman" w:cs="Times New Roman"/>
        </w:rPr>
        <w:t>指按照科学布局、优化结构和规模开发的要求，充分考虑矿产资源赋存特点、资源储量规模、勘查程度、开发利用现状、经济技术条件和矿山地质环境保护等因素的影响，划分出指导探矿权合理设置的空间单元</w:t>
      </w:r>
      <w:r>
        <w:rPr>
          <w:rFonts w:ascii="Times New Roman" w:hAnsi="Times New Roman" w:cs="Times New Roman"/>
          <w:szCs w:val="28"/>
        </w:rPr>
        <w:t>。</w:t>
      </w:r>
      <w:r>
        <w:rPr>
          <w:rFonts w:ascii="Times New Roman" w:hAnsi="Times New Roman" w:cs="Times New Roman"/>
          <w:szCs w:val="28"/>
        </w:rPr>
        <w:br w:type="textWrapping"/>
      </w:r>
    </w:p>
    <w:p>
      <w:pPr>
        <w:numPr>
          <w:ilvl w:val="0"/>
          <w:numId w:val="4"/>
        </w:numPr>
        <w:rPr>
          <w:rFonts w:ascii="Times New Roman" w:hAnsi="Times New Roman" w:cs="Times New Roman"/>
          <w:szCs w:val="28"/>
        </w:rPr>
      </w:pPr>
      <w:r>
        <w:rPr>
          <w:rFonts w:ascii="Times New Roman" w:hAnsi="Times New Roman" w:cs="Times New Roman"/>
          <w:b/>
          <w:bCs/>
        </w:rPr>
        <w:t>开采规划区块：</w:t>
      </w:r>
      <w:r>
        <w:rPr>
          <w:rFonts w:ascii="Times New Roman" w:hAnsi="Times New Roman" w:cs="Times New Roman"/>
        </w:rPr>
        <w:t>指为实现矿产资源开发的合理布局，按照科学布局、优化结构和规模开发的要求，充分考虑矿产资源赋存特点、资源储量规模、勘查程度、开发利用现状、技术经济条件和矿山地质环境保护等因素的影响，划分出的指导采矿权合理设置的空间单元</w:t>
      </w:r>
      <w:r>
        <w:rPr>
          <w:rFonts w:ascii="Times New Roman" w:hAnsi="Times New Roman" w:cs="Times New Roman"/>
          <w:szCs w:val="28"/>
        </w:rPr>
        <w:t>。</w:t>
      </w:r>
      <w:r>
        <w:rPr>
          <w:rFonts w:ascii="Times New Roman" w:hAnsi="Times New Roman" w:cs="Times New Roman"/>
          <w:szCs w:val="28"/>
        </w:rPr>
        <w:br w:type="textWrapping"/>
      </w:r>
    </w:p>
    <w:p>
      <w:pPr>
        <w:numPr>
          <w:ilvl w:val="0"/>
          <w:numId w:val="4"/>
        </w:numPr>
        <w:rPr>
          <w:rFonts w:ascii="Times New Roman" w:hAnsi="Times New Roman" w:cs="Times New Roman"/>
          <w:szCs w:val="28"/>
        </w:rPr>
      </w:pPr>
      <w:r>
        <w:rPr>
          <w:rFonts w:ascii="Times New Roman" w:hAnsi="Times New Roman" w:cs="Times New Roman"/>
          <w:b/>
          <w:bCs/>
        </w:rPr>
        <w:t>矿产</w:t>
      </w:r>
      <w:r>
        <w:rPr>
          <w:rFonts w:ascii="Times New Roman" w:hAnsi="Times New Roman" w:cs="Times New Roman"/>
          <w:b/>
          <w:bCs/>
          <w:szCs w:val="21"/>
        </w:rPr>
        <w:t>开发</w:t>
      </w:r>
      <w:r>
        <w:rPr>
          <w:rFonts w:ascii="Times New Roman" w:hAnsi="Times New Roman" w:cs="Times New Roman"/>
          <w:b/>
          <w:bCs/>
        </w:rPr>
        <w:t>项目：</w:t>
      </w:r>
      <w:r>
        <w:rPr>
          <w:rFonts w:ascii="Times New Roman" w:hAnsi="Times New Roman" w:cs="Times New Roman"/>
          <w:szCs w:val="28"/>
        </w:rPr>
        <w:t>指已纳入市级以上国土空间规划的矿产资源项目。</w:t>
      </w:r>
      <w:r>
        <w:rPr>
          <w:rFonts w:ascii="Times New Roman" w:hAnsi="Times New Roman" w:cs="Times New Roman"/>
          <w:szCs w:val="28"/>
        </w:rPr>
        <w:br w:type="textWrapping"/>
      </w:r>
    </w:p>
    <w:p>
      <w:pPr>
        <w:numPr>
          <w:ilvl w:val="0"/>
          <w:numId w:val="4"/>
        </w:numPr>
        <w:rPr>
          <w:rFonts w:ascii="Times New Roman" w:hAnsi="Times New Roman" w:cs="Times New Roman"/>
          <w:szCs w:val="28"/>
        </w:rPr>
      </w:pPr>
      <w:r>
        <w:rPr>
          <w:rFonts w:ascii="Times New Roman" w:hAnsi="Times New Roman" w:cs="Times New Roman"/>
          <w:b/>
          <w:bCs/>
        </w:rPr>
        <w:t>战略性矿产：</w:t>
      </w:r>
      <w:r>
        <w:rPr>
          <w:rFonts w:ascii="Times New Roman" w:hAnsi="Times New Roman" w:cs="Times New Roman"/>
          <w:szCs w:val="28"/>
        </w:rPr>
        <w:t>指与国家利益存在不同程度相关性的矿产资源。</w:t>
      </w:r>
    </w:p>
    <w:p>
      <w:pPr>
        <w:pStyle w:val="2"/>
        <w:spacing w:beforeLines="50"/>
        <w:jc w:val="both"/>
        <w:rPr>
          <w:rFonts w:hint="default" w:ascii="Times New Roman" w:hAnsi="Times New Roman"/>
          <w:color w:val="auto"/>
          <w:szCs w:val="28"/>
        </w:rPr>
      </w:pPr>
      <w:bookmarkStart w:id="5" w:name="_Toc14778"/>
      <w:r>
        <w:rPr>
          <w:rFonts w:hint="default" w:ascii="Times New Roman" w:hAnsi="Times New Roman"/>
          <w:color w:val="auto"/>
          <w:szCs w:val="22"/>
        </w:rPr>
        <w:t>五、其他</w:t>
      </w:r>
      <w:bookmarkEnd w:id="5"/>
    </w:p>
    <w:p>
      <w:pPr>
        <w:numPr>
          <w:ilvl w:val="0"/>
          <w:numId w:val="5"/>
        </w:numPr>
        <w:rPr>
          <w:rFonts w:ascii="Times New Roman" w:hAnsi="Times New Roman" w:cs="Times New Roman"/>
          <w:szCs w:val="28"/>
        </w:rPr>
      </w:pPr>
      <w:r>
        <w:rPr>
          <w:rFonts w:ascii="Times New Roman" w:hAnsi="Times New Roman" w:cs="Times New Roman"/>
          <w:b/>
          <w:bCs/>
        </w:rPr>
        <w:t>单元特点：</w:t>
      </w:r>
      <w:r>
        <w:rPr>
          <w:rFonts w:ascii="Times New Roman" w:hAnsi="Times New Roman" w:cs="Times New Roman"/>
          <w:szCs w:val="28"/>
        </w:rPr>
        <w:t>指构成管控单元的特征要素。其中，优先保护单元包括公益林、天然林、饮用水水源保护区、江河源头区、水产种质资源保护区、大气环境一类功能区等，单元名称中涉及的各类自然保护地在单元特点中不重复标注；重点管控单元包括已批复园区、</w:t>
      </w:r>
      <w:r>
        <w:rPr>
          <w:rFonts w:ascii="Times New Roman" w:hAnsi="Times New Roman" w:cs="Times New Roman"/>
          <w:bCs/>
          <w:szCs w:val="21"/>
        </w:rPr>
        <w:t>拟规划工业集聚区、</w:t>
      </w:r>
      <w:r>
        <w:rPr>
          <w:rFonts w:ascii="Times New Roman" w:hAnsi="Times New Roman" w:cs="Times New Roman"/>
          <w:kern w:val="0"/>
          <w:szCs w:val="21"/>
        </w:rPr>
        <w:t>拟规划港口、</w:t>
      </w:r>
      <w:r>
        <w:rPr>
          <w:rFonts w:ascii="Times New Roman" w:hAnsi="Times New Roman" w:cs="Times New Roman"/>
          <w:szCs w:val="28"/>
        </w:rPr>
        <w:t>土壤污染重点监管单位、涉重金属重点行业企业、重点矿区、合法采矿权等。一般管控单元的单元特点包括未纳入综合管控单元图层的要素。</w:t>
      </w:r>
    </w:p>
    <w:p>
      <w:pPr>
        <w:rPr>
          <w:rFonts w:ascii="Times New Roman" w:hAnsi="Times New Roman" w:cs="Times New Roman"/>
        </w:rPr>
      </w:pPr>
    </w:p>
    <w:p>
      <w:pPr>
        <w:numPr>
          <w:ilvl w:val="0"/>
          <w:numId w:val="5"/>
        </w:numPr>
        <w:rPr>
          <w:rFonts w:ascii="Times New Roman" w:hAnsi="Times New Roman" w:cs="Times New Roman"/>
          <w:szCs w:val="28"/>
        </w:rPr>
      </w:pPr>
      <w:r>
        <w:rPr>
          <w:rFonts w:ascii="Times New Roman" w:hAnsi="Times New Roman" w:cs="Times New Roman"/>
          <w:b/>
          <w:bCs/>
        </w:rPr>
        <w:t>要素属性：</w:t>
      </w:r>
      <w:r>
        <w:rPr>
          <w:rFonts w:ascii="Times New Roman" w:hAnsi="Times New Roman" w:cs="Times New Roman"/>
          <w:szCs w:val="28"/>
        </w:rPr>
        <w:t>根据单元特点识别出相应专题的管控分区属性，优先保护单元包括生态保护红线、一般生态空间、水源涵养功能（极）重要区、生物多样性维护功能（极）重要区、（极）重度石漠化区等；重点管控单元包括水环境工业污染重点管控区、大气环境高排放重点管控区、建设用地污染风险重点管控区、高污染燃料禁燃区、矿产资源重点管控区等；一般管控单元的要素属性为未纳入综合管控单元图层的相关属性，如</w:t>
      </w:r>
      <w:r>
        <w:rPr>
          <w:rFonts w:ascii="Times New Roman" w:hAnsi="Times New Roman" w:cs="Times New Roman"/>
          <w:bCs/>
        </w:rPr>
        <w:t>大气环境弱扩散重点管控</w:t>
      </w:r>
    </w:p>
    <w:p>
      <w:pPr>
        <w:pStyle w:val="2"/>
        <w:rPr>
          <w:rFonts w:hint="default" w:ascii="Times New Roman" w:hAnsi="Times New Roman"/>
          <w:bCs/>
        </w:rPr>
      </w:pPr>
    </w:p>
    <w:p>
      <w:pPr>
        <w:pStyle w:val="2"/>
        <w:rPr>
          <w:rFonts w:hint="default" w:ascii="Times New Roman" w:hAnsi="Times New Roman"/>
          <w:bCs/>
        </w:rPr>
      </w:pPr>
    </w:p>
    <w:p>
      <w:pPr>
        <w:numPr>
          <w:ilvl w:val="0"/>
          <w:numId w:val="5"/>
        </w:numPr>
        <w:rPr>
          <w:rFonts w:ascii="Times New Roman" w:hAnsi="Times New Roman" w:cs="Times New Roman"/>
          <w:b/>
          <w:bCs/>
        </w:rPr>
      </w:pPr>
      <w:r>
        <w:rPr>
          <w:rFonts w:ascii="Times New Roman" w:hAnsi="Times New Roman" w:cs="Times New Roman"/>
          <w:b/>
          <w:bCs/>
        </w:rPr>
        <w:t>区、高污染燃料禁燃区等。</w:t>
      </w:r>
    </w:p>
    <w:p>
      <w:pPr>
        <w:pStyle w:val="2"/>
        <w:rPr>
          <w:rFonts w:hint="default" w:ascii="Times New Roman" w:hAnsi="Times New Roman"/>
          <w:bCs/>
        </w:rPr>
      </w:pPr>
    </w:p>
    <w:p>
      <w:pPr>
        <w:pStyle w:val="2"/>
        <w:rPr>
          <w:rFonts w:hint="default" w:ascii="Times New Roman" w:hAnsi="Times New Roman"/>
          <w:bCs/>
        </w:rPr>
      </w:pPr>
    </w:p>
    <w:p>
      <w:pPr>
        <w:pStyle w:val="2"/>
        <w:rPr>
          <w:rFonts w:hint="default" w:ascii="Times New Roman" w:hAnsi="Times New Roman"/>
          <w:bCs/>
        </w:rPr>
        <w:sectPr>
          <w:pgSz w:w="11905" w:h="16838"/>
          <w:pgMar w:top="1417" w:right="1417" w:bottom="1417" w:left="1417" w:header="851" w:footer="992" w:gutter="0"/>
          <w:pgNumType w:fmt="upperRoman" w:start="1"/>
          <w:cols w:space="0" w:num="1"/>
          <w:docGrid w:type="lines" w:linePitch="317" w:charSpace="0"/>
        </w:sectPr>
      </w:pPr>
    </w:p>
    <w:p>
      <w:pPr>
        <w:pStyle w:val="2"/>
        <w:rPr>
          <w:rFonts w:hint="default" w:ascii="Times New Roman" w:hAnsi="Times New Roman" w:eastAsia="宋体"/>
        </w:rPr>
      </w:pPr>
    </w:p>
    <w:p>
      <w:pPr>
        <w:pStyle w:val="3"/>
        <w:spacing w:before="156" w:after="156"/>
      </w:pPr>
      <w:bookmarkStart w:id="6" w:name="_Toc27733"/>
      <w:bookmarkStart w:id="7" w:name="_Toc31021"/>
      <w:bookmarkStart w:id="8" w:name="_Toc17283"/>
      <w:bookmarkStart w:id="9" w:name="_Toc13792"/>
      <w:bookmarkStart w:id="10" w:name="_Toc41"/>
      <w:bookmarkStart w:id="11" w:name="_Toc3512"/>
      <w:bookmarkStart w:id="12" w:name="_Toc20474"/>
      <w:bookmarkStart w:id="13" w:name="_Toc1131"/>
      <w:bookmarkStart w:id="14" w:name="_Toc4323"/>
      <w:bookmarkStart w:id="15" w:name="_Toc24359"/>
      <w:bookmarkStart w:id="16" w:name="_Toc13143"/>
      <w:bookmarkStart w:id="17" w:name="_Toc1420"/>
      <w:bookmarkStart w:id="18" w:name="_Toc72312950"/>
      <w:bookmarkStart w:id="19" w:name="_Toc11339"/>
      <w:bookmarkStart w:id="20" w:name="_Toc16452"/>
      <w:r>
        <w:rPr>
          <w:rFonts w:hint="eastAsia"/>
        </w:rPr>
        <w:t>1</w:t>
      </w:r>
      <w:r>
        <w:tab/>
      </w:r>
      <w:r>
        <w:t>钦南区</w:t>
      </w:r>
      <w:bookmarkEnd w:id="6"/>
      <w:bookmarkEnd w:id="7"/>
    </w:p>
    <w:p>
      <w:pPr>
        <w:adjustRightInd w:val="0"/>
        <w:snapToGrid w:val="0"/>
        <w:spacing w:line="300" w:lineRule="auto"/>
        <w:jc w:val="center"/>
        <w:outlineLvl w:val="3"/>
        <w:rPr>
          <w:rFonts w:ascii="Times New Roman" w:hAnsi="Times New Roman" w:eastAsia="黑体" w:cs="Times New Roman"/>
          <w:sz w:val="24"/>
          <w:szCs w:val="21"/>
        </w:rPr>
      </w:pPr>
      <w:bookmarkStart w:id="21" w:name="_Toc12608"/>
      <w:r>
        <w:rPr>
          <w:rFonts w:ascii="Times New Roman" w:hAnsi="Times New Roman" w:eastAsia="黑体" w:cs="Times New Roman"/>
          <w:sz w:val="28"/>
          <w:szCs w:val="28"/>
        </w:rPr>
        <w:t>表1  钦州市钦南区</w:t>
      </w:r>
      <w:r>
        <w:rPr>
          <w:rFonts w:hint="eastAsia" w:ascii="Times New Roman" w:hAnsi="Times New Roman" w:eastAsia="黑体" w:cs="Times New Roman"/>
          <w:sz w:val="28"/>
          <w:szCs w:val="28"/>
        </w:rPr>
        <w:t>环境管控单元</w:t>
      </w:r>
      <w:r>
        <w:rPr>
          <w:rFonts w:ascii="Times New Roman" w:hAnsi="Times New Roman" w:eastAsia="黑体" w:cs="Times New Roman"/>
          <w:sz w:val="28"/>
          <w:szCs w:val="28"/>
        </w:rPr>
        <w:t>生态环境准入清单</w:t>
      </w:r>
      <w:bookmarkEnd w:id="21"/>
    </w:p>
    <w:tbl>
      <w:tblPr>
        <w:tblStyle w:val="18"/>
        <w:tblW w:w="15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1917"/>
        <w:gridCol w:w="1591"/>
        <w:gridCol w:w="733"/>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1994" w:type="dxa"/>
            <w:shd w:val="clear" w:color="auto" w:fill="auto"/>
            <w:vAlign w:val="center"/>
          </w:tcPr>
          <w:p>
            <w:pPr>
              <w:adjustRightInd w:val="0"/>
              <w:snapToGrid w:val="0"/>
              <w:jc w:val="center"/>
              <w:rPr>
                <w:rFonts w:ascii="Times New Roman" w:hAnsi="Times New Roman" w:cs="Times New Roman"/>
                <w:b/>
                <w:szCs w:val="21"/>
              </w:rPr>
            </w:pPr>
            <w:r>
              <w:rPr>
                <w:rFonts w:ascii="Times New Roman" w:hAnsi="Times New Roman" w:cs="Times New Roman"/>
                <w:b/>
                <w:szCs w:val="21"/>
              </w:rPr>
              <w:t>环境管控单元编码</w:t>
            </w:r>
          </w:p>
        </w:tc>
        <w:tc>
          <w:tcPr>
            <w:tcW w:w="1917" w:type="dxa"/>
            <w:shd w:val="clear" w:color="auto" w:fill="auto"/>
            <w:vAlign w:val="center"/>
          </w:tcPr>
          <w:p>
            <w:pPr>
              <w:adjustRightInd w:val="0"/>
              <w:snapToGrid w:val="0"/>
              <w:jc w:val="center"/>
              <w:rPr>
                <w:rFonts w:ascii="Times New Roman" w:hAnsi="Times New Roman" w:cs="Times New Roman"/>
                <w:b/>
                <w:szCs w:val="21"/>
              </w:rPr>
            </w:pPr>
            <w:r>
              <w:rPr>
                <w:rFonts w:ascii="Times New Roman" w:hAnsi="Times New Roman" w:cs="Times New Roman"/>
                <w:b/>
                <w:szCs w:val="21"/>
              </w:rPr>
              <w:t>环境管控单元名称</w:t>
            </w:r>
          </w:p>
        </w:tc>
        <w:tc>
          <w:tcPr>
            <w:tcW w:w="1591" w:type="dxa"/>
            <w:shd w:val="clear" w:color="auto" w:fill="auto"/>
            <w:vAlign w:val="center"/>
          </w:tcPr>
          <w:p>
            <w:pPr>
              <w:adjustRightInd w:val="0"/>
              <w:snapToGrid w:val="0"/>
              <w:jc w:val="center"/>
              <w:rPr>
                <w:rFonts w:ascii="Times New Roman" w:hAnsi="Times New Roman" w:cs="Times New Roman"/>
                <w:b/>
                <w:szCs w:val="21"/>
              </w:rPr>
            </w:pPr>
            <w:r>
              <w:rPr>
                <w:rFonts w:ascii="Times New Roman" w:hAnsi="Times New Roman" w:cs="Times New Roman"/>
                <w:b/>
                <w:szCs w:val="21"/>
              </w:rPr>
              <w:t>管控单元类别</w:t>
            </w:r>
          </w:p>
        </w:tc>
        <w:tc>
          <w:tcPr>
            <w:tcW w:w="9661" w:type="dxa"/>
            <w:gridSpan w:val="2"/>
            <w:shd w:val="clear" w:color="auto" w:fill="auto"/>
            <w:vAlign w:val="center"/>
          </w:tcPr>
          <w:p>
            <w:pPr>
              <w:adjustRightInd w:val="0"/>
              <w:snapToGrid w:val="0"/>
              <w:jc w:val="center"/>
              <w:rPr>
                <w:rFonts w:ascii="Times New Roman" w:hAnsi="Times New Roman" w:cs="Times New Roman"/>
                <w:b/>
                <w:szCs w:val="21"/>
              </w:rPr>
            </w:pPr>
            <w:r>
              <w:rPr>
                <w:rFonts w:ascii="Times New Roman" w:hAnsi="Times New Roman" w:cs="Times New Roman"/>
                <w:b/>
                <w:szCs w:val="21"/>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09" w:hRule="atLeast"/>
        </w:trPr>
        <w:tc>
          <w:tcPr>
            <w:tcW w:w="199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ZH45070210001</w:t>
            </w:r>
          </w:p>
        </w:tc>
        <w:tc>
          <w:tcPr>
            <w:tcW w:w="191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北部湾水源涵养生态保护红线</w:t>
            </w:r>
          </w:p>
        </w:tc>
        <w:tc>
          <w:tcPr>
            <w:tcW w:w="159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严格落实国家、自治区对生态保护红线及自然保护地的管控要求。</w:t>
            </w:r>
            <w:r>
              <w:rPr>
                <w:rFonts w:ascii="Times New Roman" w:hAnsi="Times New Roman" w:cs="Times New Roman"/>
                <w:szCs w:val="21"/>
              </w:rPr>
              <w:t>严禁不符合主体功能定位的各类开发活动，严禁任意改变用途，严格禁止任何单位和个人擅自占用和改变用地性质。</w:t>
            </w:r>
          </w:p>
          <w:p>
            <w:pPr>
              <w:adjustRightInd w:val="0"/>
              <w:snapToGrid w:val="0"/>
              <w:rPr>
                <w:rFonts w:ascii="Times New Roman" w:hAnsi="Times New Roman" w:cs="Times New Roman"/>
                <w:szCs w:val="21"/>
              </w:rPr>
            </w:pPr>
            <w:r>
              <w:rPr>
                <w:rFonts w:ascii="Times New Roman" w:hAnsi="Times New Roman" w:cs="Times New Roman"/>
                <w:szCs w:val="21"/>
              </w:rPr>
              <w:t>2、在符合现行法律法规前提下，除国家重大战略项目外，仅允许对生态功能不造成破坏的有限人为活动。</w:t>
            </w:r>
          </w:p>
          <w:p>
            <w:pPr>
              <w:adjustRightInd w:val="0"/>
              <w:snapToGrid w:val="0"/>
              <w:rPr>
                <w:rFonts w:ascii="Times New Roman" w:hAnsi="Times New Roman" w:cs="Times New Roman"/>
                <w:szCs w:val="21"/>
              </w:rPr>
            </w:pPr>
            <w:r>
              <w:rPr>
                <w:rFonts w:ascii="Times New Roman" w:hAnsi="Times New Roman" w:cs="Times New Roman"/>
                <w:szCs w:val="21"/>
              </w:rPr>
              <w:t>3、有限人为活动按照《中共中央办公厅 国务院办公厅印发＜关于在国土空间规划中统筹划定落实三条控制线的指导意见＞》和省级环境管控及准入要求清单进行。</w:t>
            </w:r>
          </w:p>
          <w:p>
            <w:pPr>
              <w:adjustRightInd w:val="0"/>
              <w:snapToGrid w:val="0"/>
              <w:rPr>
                <w:rFonts w:ascii="Times New Roman" w:hAnsi="Times New Roman" w:cs="Times New Roman"/>
                <w:szCs w:val="21"/>
              </w:rPr>
            </w:pPr>
            <w:r>
              <w:rPr>
                <w:rFonts w:ascii="Times New Roman" w:hAnsi="Times New Roman" w:cs="Times New Roman"/>
                <w:szCs w:val="21"/>
              </w:rPr>
              <w:t>4、饮用水水源保护区以及生态公益林、天然林还需执行国家、自治区以及市县相应法律法规要求。</w:t>
            </w:r>
          </w:p>
          <w:p>
            <w:pPr>
              <w:adjustRightInd w:val="0"/>
              <w:snapToGrid w:val="0"/>
              <w:rPr>
                <w:rFonts w:ascii="Times New Roman" w:hAnsi="Times New Roman" w:cs="Times New Roman"/>
                <w:szCs w:val="21"/>
              </w:rPr>
            </w:pPr>
            <w:r>
              <w:rPr>
                <w:rFonts w:ascii="Times New Roman" w:hAnsi="Times New Roman" w:cs="Times New Roman"/>
                <w:szCs w:val="21"/>
              </w:rPr>
              <w:t>5、《生态保护红线管理办法》出台后，按其规定执行。</w:t>
            </w:r>
          </w:p>
          <w:p>
            <w:pPr>
              <w:adjustRightInd w:val="0"/>
              <w:snapToGrid w:val="0"/>
              <w:rPr>
                <w:rFonts w:ascii="Times New Roman" w:hAnsi="Times New Roman" w:cs="Times New Roman"/>
                <w:szCs w:val="21"/>
              </w:rPr>
            </w:pPr>
            <w:r>
              <w:rPr>
                <w:rFonts w:ascii="Times New Roman" w:hAnsi="Times New Roman" w:cs="Times New Roman"/>
                <w:szCs w:val="21"/>
              </w:rPr>
              <w:t>6、</w:t>
            </w:r>
            <w:r>
              <w:rPr>
                <w:rFonts w:hint="eastAsia" w:ascii="Times New Roman" w:hAnsi="Times New Roman" w:cs="Times New Roman"/>
                <w:szCs w:val="21"/>
              </w:rPr>
              <w:t>到</w:t>
            </w:r>
            <w:r>
              <w:rPr>
                <w:rFonts w:ascii="Times New Roman" w:hAnsi="Times New Roman" w:cs="Times New Roman"/>
                <w:szCs w:val="21"/>
              </w:rPr>
              <w:t>2025年，高糖国考断面水质</w:t>
            </w:r>
            <w:r>
              <w:rPr>
                <w:rFonts w:hint="eastAsia" w:ascii="Times New Roman" w:hAnsi="Times New Roman" w:cs="Times New Roman"/>
                <w:szCs w:val="21"/>
              </w:rPr>
              <w:t>拟</w:t>
            </w:r>
            <w:r>
              <w:rPr>
                <w:rFonts w:ascii="Times New Roman" w:hAnsi="Times New Roman" w:cs="Times New Roman"/>
                <w:szCs w:val="21"/>
              </w:rPr>
              <w:t>执行Ⅲ类标准，最终以国家下达的目标为准。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1994"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ZH45070210002</w:t>
            </w:r>
          </w:p>
        </w:tc>
        <w:tc>
          <w:tcPr>
            <w:tcW w:w="1917"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广西钦州红树湾自治区级湿地公园生态保护红线</w:t>
            </w:r>
          </w:p>
        </w:tc>
        <w:tc>
          <w:tcPr>
            <w:tcW w:w="159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严格落实国家、自治区对生态保护红线及自然保护地的管控要求。</w:t>
            </w:r>
            <w:r>
              <w:rPr>
                <w:rFonts w:ascii="Times New Roman" w:hAnsi="Times New Roman" w:cs="Times New Roman"/>
                <w:szCs w:val="21"/>
              </w:rPr>
              <w:t>严禁不符合主体功能定位的各类开发活动，严禁任意改变用途，严格禁止任何单位和个人擅自占用和改变用地性质。</w:t>
            </w:r>
          </w:p>
          <w:p>
            <w:pPr>
              <w:adjustRightInd w:val="0"/>
              <w:snapToGrid w:val="0"/>
              <w:rPr>
                <w:rFonts w:ascii="Times New Roman" w:hAnsi="Times New Roman" w:cs="Times New Roman"/>
                <w:szCs w:val="21"/>
              </w:rPr>
            </w:pPr>
            <w:r>
              <w:rPr>
                <w:rFonts w:ascii="Times New Roman" w:hAnsi="Times New Roman" w:cs="Times New Roman"/>
                <w:szCs w:val="21"/>
              </w:rPr>
              <w:t>2、核心保护区内，除满足国家特殊战略需要的有关活动外，原则上禁止人为活动；一般控制区内，除满足国家特殊战略需要的有关活动外，原则上禁止开发性、生产性建设活动，仅允许对生态功能不造成破坏的有限人为活动。</w:t>
            </w:r>
          </w:p>
          <w:p>
            <w:pPr>
              <w:adjustRightInd w:val="0"/>
              <w:snapToGrid w:val="0"/>
              <w:rPr>
                <w:rFonts w:ascii="Times New Roman" w:hAnsi="Times New Roman" w:cs="Times New Roman"/>
                <w:szCs w:val="21"/>
              </w:rPr>
            </w:pPr>
            <w:r>
              <w:rPr>
                <w:rFonts w:ascii="Times New Roman" w:hAnsi="Times New Roman" w:cs="Times New Roman"/>
                <w:szCs w:val="21"/>
              </w:rPr>
              <w:t>3、有限人为活动按照《中共中央办公厅 国务院办公厅印发＜关于在国土空间规划中统筹划定落实三条控制线的指导意见＞》和省级环境管控及准入要求清单进行。</w:t>
            </w:r>
          </w:p>
          <w:p>
            <w:pPr>
              <w:adjustRightInd w:val="0"/>
              <w:snapToGrid w:val="0"/>
              <w:rPr>
                <w:rFonts w:ascii="Times New Roman" w:hAnsi="Times New Roman" w:cs="Times New Roman"/>
                <w:szCs w:val="21"/>
              </w:rPr>
            </w:pPr>
            <w:r>
              <w:rPr>
                <w:rFonts w:ascii="Times New Roman" w:hAnsi="Times New Roman" w:cs="Times New Roman"/>
                <w:szCs w:val="21"/>
              </w:rPr>
              <w:t>4、湿地公园执行《国家湿地公园管理办法》《湿地保护管理规定》《广西壮族自治区湿地保护条例》相关要求；生态公益林、天然林还需执行国家、自治区以及市县相应法律法规要求。</w:t>
            </w:r>
          </w:p>
          <w:p>
            <w:pPr>
              <w:adjustRightInd w:val="0"/>
              <w:snapToGrid w:val="0"/>
              <w:rPr>
                <w:rFonts w:ascii="Times New Roman" w:hAnsi="Times New Roman" w:cs="Times New Roman"/>
                <w:szCs w:val="21"/>
              </w:rPr>
            </w:pPr>
            <w:r>
              <w:rPr>
                <w:rFonts w:ascii="Times New Roman" w:hAnsi="Times New Roman" w:cs="Times New Roman"/>
                <w:szCs w:val="21"/>
              </w:rPr>
              <w:t>5、《生态保护红线管理办法》出台后，按其规定执行。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9" w:hRule="atLeast"/>
        </w:trPr>
        <w:tc>
          <w:tcPr>
            <w:tcW w:w="1994"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ZH45070210003</w:t>
            </w:r>
          </w:p>
        </w:tc>
        <w:tc>
          <w:tcPr>
            <w:tcW w:w="1917"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广西钦州林湖自治区级森林公园生态保护红线</w:t>
            </w:r>
          </w:p>
        </w:tc>
        <w:tc>
          <w:tcPr>
            <w:tcW w:w="159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严格落实国家、自治区对生态保护红线及自然保护地的管控要求。</w:t>
            </w:r>
            <w:r>
              <w:rPr>
                <w:rFonts w:ascii="Times New Roman" w:hAnsi="Times New Roman" w:cs="Times New Roman"/>
                <w:szCs w:val="21"/>
              </w:rPr>
              <w:t>严禁不符合主体功能定位的各类开发活动，严禁任意改变用途，严格禁止任何单位和个人擅自占用和改变用地性质。</w:t>
            </w:r>
          </w:p>
          <w:p>
            <w:pPr>
              <w:adjustRightInd w:val="0"/>
              <w:snapToGrid w:val="0"/>
              <w:rPr>
                <w:rFonts w:ascii="Times New Roman" w:hAnsi="Times New Roman" w:cs="Times New Roman"/>
                <w:szCs w:val="21"/>
              </w:rPr>
            </w:pPr>
            <w:r>
              <w:rPr>
                <w:rFonts w:ascii="Times New Roman" w:hAnsi="Times New Roman" w:cs="Times New Roman"/>
                <w:szCs w:val="21"/>
              </w:rPr>
              <w:t>2、核心保护区内，除满足国家特殊战略需要的有关活动外，原则上禁止人为活动；一般控制区内，除满足国家特殊战略需要的有关活动外，原则上禁止开发性、生产性建设活动，仅允许对生态功能不造成破坏的有限人为活动。</w:t>
            </w:r>
          </w:p>
          <w:p>
            <w:pPr>
              <w:adjustRightInd w:val="0"/>
              <w:snapToGrid w:val="0"/>
              <w:rPr>
                <w:rFonts w:ascii="Times New Roman" w:hAnsi="Times New Roman" w:cs="Times New Roman"/>
                <w:szCs w:val="21"/>
              </w:rPr>
            </w:pPr>
            <w:r>
              <w:rPr>
                <w:rFonts w:ascii="Times New Roman" w:hAnsi="Times New Roman" w:cs="Times New Roman"/>
                <w:szCs w:val="21"/>
              </w:rPr>
              <w:t>3、有限人为活动按照《中共中央办公厅 国务院办公厅印发＜关于在国土空间规划中统筹划定落实三条控制线的指导意见＞》和省级环境管控及准入要求清单进行。</w:t>
            </w:r>
          </w:p>
          <w:p>
            <w:pPr>
              <w:adjustRightInd w:val="0"/>
              <w:snapToGrid w:val="0"/>
              <w:rPr>
                <w:rFonts w:ascii="Times New Roman" w:hAnsi="Times New Roman" w:cs="Times New Roman"/>
                <w:szCs w:val="21"/>
              </w:rPr>
            </w:pPr>
            <w:r>
              <w:rPr>
                <w:rFonts w:ascii="Times New Roman" w:hAnsi="Times New Roman" w:cs="Times New Roman"/>
                <w:szCs w:val="21"/>
              </w:rPr>
              <w:t>4、森林公园执行《森林公园管理办法》相关要求，生态公益林、天然林还需执行国家、自治区以及市县相应法律法规要求。</w:t>
            </w:r>
          </w:p>
          <w:p>
            <w:pPr>
              <w:adjustRightInd w:val="0"/>
              <w:snapToGrid w:val="0"/>
              <w:rPr>
                <w:rFonts w:ascii="Times New Roman" w:hAnsi="Times New Roman" w:cs="Times New Roman"/>
                <w:szCs w:val="21"/>
              </w:rPr>
            </w:pPr>
            <w:r>
              <w:rPr>
                <w:rFonts w:ascii="Times New Roman" w:hAnsi="Times New Roman" w:cs="Times New Roman"/>
                <w:szCs w:val="21"/>
              </w:rPr>
              <w:t>5、《生态保护红线管理办法》出台后，按其规定执行。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trPr>
        <w:tc>
          <w:tcPr>
            <w:tcW w:w="1994"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ZH45070210004</w:t>
            </w:r>
          </w:p>
        </w:tc>
        <w:tc>
          <w:tcPr>
            <w:tcW w:w="1917"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广西钦州那雾山自治区级地质公园生态保护红线</w:t>
            </w:r>
          </w:p>
        </w:tc>
        <w:tc>
          <w:tcPr>
            <w:tcW w:w="159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严格落实国家、自治区对生态保护红线及自然保护地的管控要求。</w:t>
            </w:r>
            <w:r>
              <w:rPr>
                <w:rFonts w:ascii="Times New Roman" w:hAnsi="Times New Roman" w:cs="Times New Roman"/>
              </w:rPr>
              <w:t>严禁不符合主体功能定位的各类开发活动，严禁任意改变用途，严格禁止任何单位和个人擅自占用和改变用地性质。</w:t>
            </w:r>
          </w:p>
          <w:p>
            <w:pPr>
              <w:adjustRightInd w:val="0"/>
              <w:snapToGrid w:val="0"/>
              <w:rPr>
                <w:rFonts w:ascii="Times New Roman" w:hAnsi="Times New Roman" w:cs="Times New Roman"/>
              </w:rPr>
            </w:pPr>
            <w:r>
              <w:rPr>
                <w:rFonts w:ascii="Times New Roman" w:hAnsi="Times New Roman" w:cs="Times New Roman"/>
              </w:rPr>
              <w:t>2、核心保护区内，除满足国家特殊战略需要的有关活动外，原则上禁止人为活动；一般控制区内，除满足国家特殊战略需要的有关活动外，原则上禁止开发性、生产性建设活动，仅允许对生态功能不造成破坏的有限人为活动。</w:t>
            </w:r>
          </w:p>
          <w:p>
            <w:pPr>
              <w:adjustRightInd w:val="0"/>
              <w:snapToGrid w:val="0"/>
              <w:rPr>
                <w:rFonts w:ascii="Times New Roman" w:hAnsi="Times New Roman" w:cs="Times New Roman"/>
              </w:rPr>
            </w:pPr>
            <w:r>
              <w:rPr>
                <w:rFonts w:ascii="Times New Roman" w:hAnsi="Times New Roman" w:cs="Times New Roman"/>
              </w:rPr>
              <w:t>3、有限人为活动按照《中共中央办公厅 国务院办公厅印发＜关于在国土空间规划中统筹划定落实三条控制线的指导意见＞》和省级环境管控及准入要求清单进行。</w:t>
            </w:r>
          </w:p>
          <w:p>
            <w:pPr>
              <w:adjustRightInd w:val="0"/>
              <w:snapToGrid w:val="0"/>
              <w:rPr>
                <w:rFonts w:ascii="Times New Roman" w:hAnsi="Times New Roman" w:cs="Times New Roman"/>
              </w:rPr>
            </w:pPr>
            <w:r>
              <w:rPr>
                <w:rFonts w:ascii="Times New Roman" w:hAnsi="Times New Roman" w:cs="Times New Roman"/>
              </w:rPr>
              <w:t>4、地质公园执行《地质遗迹保护管理规定》相关要求，天然林还需执行国家、自治区以及市县相应法律法规要求。</w:t>
            </w:r>
          </w:p>
          <w:p>
            <w:pPr>
              <w:snapToGrid w:val="0"/>
              <w:rPr>
                <w:rFonts w:ascii="Times New Roman" w:hAnsi="Times New Roman" w:cs="Times New Roman"/>
              </w:rPr>
            </w:pPr>
            <w:r>
              <w:rPr>
                <w:rFonts w:ascii="Times New Roman" w:hAnsi="Times New Roman" w:cs="Times New Roman"/>
              </w:rPr>
              <w:t>5、《生态保护红线管理办法》出台后，按其规定执行。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5" w:hRule="atLeast"/>
        </w:trPr>
        <w:tc>
          <w:tcPr>
            <w:tcW w:w="1994"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ZH45070210006</w:t>
            </w:r>
          </w:p>
        </w:tc>
        <w:tc>
          <w:tcPr>
            <w:tcW w:w="1917"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大风江饮用水水源保护区一般生态空间</w:t>
            </w:r>
          </w:p>
        </w:tc>
        <w:tc>
          <w:tcPr>
            <w:tcW w:w="159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rPr>
                <w:rFonts w:ascii="Times New Roman" w:hAnsi="Times New Roman" w:cs="Times New Roman"/>
              </w:rPr>
            </w:pPr>
            <w:r>
              <w:rPr>
                <w:rFonts w:ascii="Times New Roman" w:hAnsi="Times New Roman" w:cs="Times New Roman"/>
              </w:rPr>
              <w:t>1、按照《饮用水水源保护区污染防治管理规定》《中华人民共和国水污染防治法》《广西壮族自治区饮用水水源保护条例》《广西壮族自治区水污染防治条例》等相关法律法规进行管理。</w:t>
            </w:r>
          </w:p>
          <w:p>
            <w:pPr>
              <w:adjustRightInd w:val="0"/>
              <w:snapToGrid w:val="0"/>
              <w:rPr>
                <w:rFonts w:ascii="Times New Roman" w:hAnsi="Times New Roman" w:cs="Times New Roman"/>
                <w:szCs w:val="21"/>
              </w:rPr>
            </w:pPr>
            <w:r>
              <w:rPr>
                <w:rFonts w:ascii="Times New Roman" w:hAnsi="Times New Roman" w:cs="Times New Roman"/>
              </w:rPr>
              <w:t>2、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ZH45070210007</w:t>
            </w:r>
          </w:p>
        </w:tc>
        <w:tc>
          <w:tcPr>
            <w:tcW w:w="1917"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大马鞍水库-南蛇水库饮用水水源保护区一般生态空间</w:t>
            </w:r>
          </w:p>
        </w:tc>
        <w:tc>
          <w:tcPr>
            <w:tcW w:w="159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rPr>
                <w:rFonts w:ascii="Times New Roman" w:hAnsi="Times New Roman" w:cs="Times New Roman"/>
              </w:rPr>
            </w:pPr>
            <w:r>
              <w:rPr>
                <w:rFonts w:ascii="Times New Roman" w:hAnsi="Times New Roman" w:cs="Times New Roman"/>
              </w:rPr>
              <w:t>1、按照《饮用水水源保护区污染防治管理规定》《中华人民共和国水污染防治法》《广西壮族自治区饮用水水源保护条例》《广西壮族自治区水污染防治条例》等相关法律法规进行管理。</w:t>
            </w:r>
          </w:p>
          <w:p>
            <w:pPr>
              <w:adjustRightInd w:val="0"/>
              <w:snapToGrid w:val="0"/>
              <w:rPr>
                <w:rFonts w:ascii="Times New Roman" w:hAnsi="Times New Roman" w:cs="Times New Roman"/>
                <w:szCs w:val="21"/>
              </w:rPr>
            </w:pPr>
            <w:r>
              <w:rPr>
                <w:rFonts w:ascii="Times New Roman" w:hAnsi="Times New Roman" w:cs="Times New Roman"/>
              </w:rPr>
              <w:t>2、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ZH45070210008</w:t>
            </w:r>
          </w:p>
        </w:tc>
        <w:tc>
          <w:tcPr>
            <w:tcW w:w="1917"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金窝水库饮用水水源保护区一般生态空间</w:t>
            </w:r>
          </w:p>
        </w:tc>
        <w:tc>
          <w:tcPr>
            <w:tcW w:w="159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rPr>
                <w:rFonts w:ascii="Times New Roman" w:hAnsi="Times New Roman" w:cs="Times New Roman"/>
              </w:rPr>
            </w:pPr>
            <w:r>
              <w:rPr>
                <w:rFonts w:ascii="Times New Roman" w:hAnsi="Times New Roman" w:cs="Times New Roman"/>
              </w:rPr>
              <w:t>1、按照《饮用水水源保护区污染防治管理规定》《中华人民共和国水污染防治法》《广西壮族自治区饮用水水源保护条例》《广西壮族自治区水污染防治条例》等相关法律法规进行管理。</w:t>
            </w:r>
          </w:p>
          <w:p>
            <w:pPr>
              <w:adjustRightInd w:val="0"/>
              <w:snapToGrid w:val="0"/>
              <w:rPr>
                <w:rFonts w:ascii="Times New Roman" w:hAnsi="Times New Roman" w:cs="Times New Roman"/>
                <w:szCs w:val="21"/>
              </w:rPr>
            </w:pPr>
            <w:r>
              <w:rPr>
                <w:rFonts w:ascii="Times New Roman" w:hAnsi="Times New Roman" w:cs="Times New Roman"/>
              </w:rPr>
              <w:t>2、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ZH45070210009</w:t>
            </w:r>
          </w:p>
        </w:tc>
        <w:tc>
          <w:tcPr>
            <w:tcW w:w="1917"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茅岭江饮用水水源保护区一般生态空间</w:t>
            </w:r>
          </w:p>
        </w:tc>
        <w:tc>
          <w:tcPr>
            <w:tcW w:w="159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1、按照《饮用水水源保护区污染防治管理规定》《中华人民共和国水污染防治法》《广西壮族自治区饮用水水源保护条例》《广西壮族自治区水污染防治条例》等相关法律法规进行管理。</w:t>
            </w:r>
          </w:p>
          <w:p>
            <w:pPr>
              <w:adjustRightInd w:val="0"/>
              <w:snapToGrid w:val="0"/>
              <w:rPr>
                <w:rFonts w:ascii="Times New Roman" w:hAnsi="Times New Roman" w:cs="Times New Roman"/>
                <w:szCs w:val="21"/>
              </w:rPr>
            </w:pPr>
            <w:r>
              <w:rPr>
                <w:rFonts w:ascii="Times New Roman" w:hAnsi="Times New Roman" w:cs="Times New Roman"/>
                <w:szCs w:val="21"/>
              </w:rPr>
              <w:t>2、国家级公益林依据《国家级公益林管理办法》（林资发〔2017〕34号）进行管理，严格控制勘查、开采矿藏和工程建设使用国家级公益林地。确需使用的，严格按照《建设项目使用林地审核审批管理办法》有关规定办理使用林地手续。涉及林木采伐的，按相关规定依法办理林木采伐手续。经审核审批同意使用的国家级公益林地，可按规定实行占补平衡。一级国家级公益林原则上不得开展生产经营活动，严禁打枝、采脂、割漆、剥树皮、掘根等行为。二级国家级公益林在不影响整体森林生态系统功能发挥的前提下，可以按照相关技术规程的规定开展抚育和更新性质的采伐。在不破坏森林植被的前提下，可以合理利用其林地资源，适度开展林下种植养殖和森林游憩等非木质资源开发与利用，科学发展林下经济。</w:t>
            </w:r>
          </w:p>
          <w:p>
            <w:pPr>
              <w:adjustRightInd w:val="0"/>
              <w:snapToGrid w:val="0"/>
              <w:rPr>
                <w:rFonts w:ascii="Times New Roman" w:hAnsi="Times New Roman" w:cs="Times New Roman"/>
                <w:szCs w:val="21"/>
              </w:rPr>
            </w:pPr>
            <w:r>
              <w:rPr>
                <w:rFonts w:ascii="Times New Roman" w:hAnsi="Times New Roman" w:cs="Times New Roman"/>
                <w:szCs w:val="21"/>
              </w:rPr>
              <w:t>3、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ZH45070210010</w:t>
            </w:r>
          </w:p>
        </w:tc>
        <w:tc>
          <w:tcPr>
            <w:tcW w:w="1917"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钦江饮用水水源保护区一般生态空间</w:t>
            </w:r>
          </w:p>
        </w:tc>
        <w:tc>
          <w:tcPr>
            <w:tcW w:w="159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rPr>
                <w:rFonts w:ascii="Times New Roman" w:hAnsi="Times New Roman" w:cs="Times New Roman"/>
              </w:rPr>
            </w:pPr>
            <w:r>
              <w:rPr>
                <w:rFonts w:ascii="Times New Roman" w:hAnsi="Times New Roman" w:cs="Times New Roman"/>
              </w:rPr>
              <w:t>1、按照《饮用水水源保护区污染防治管理规定》《中华人民共和国水污染防治法》《广西壮族自治区饮用水水源保护条例》《广西壮族自治区水污染防治条例》等相关法律法规进行管理。</w:t>
            </w:r>
          </w:p>
          <w:p>
            <w:pPr>
              <w:adjustRightInd w:val="0"/>
              <w:snapToGrid w:val="0"/>
              <w:rPr>
                <w:rFonts w:ascii="Times New Roman" w:hAnsi="Times New Roman" w:cs="Times New Roman"/>
                <w:szCs w:val="21"/>
              </w:rPr>
            </w:pPr>
            <w:r>
              <w:rPr>
                <w:rFonts w:ascii="Times New Roman" w:hAnsi="Times New Roman" w:cs="Times New Roman"/>
              </w:rPr>
              <w:t>2、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ZH45070210011</w:t>
            </w:r>
          </w:p>
        </w:tc>
        <w:tc>
          <w:tcPr>
            <w:tcW w:w="1917"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钦南区其他优先保护单元</w:t>
            </w:r>
          </w:p>
        </w:tc>
        <w:tc>
          <w:tcPr>
            <w:tcW w:w="159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numPr>
                <w:ilvl w:val="0"/>
                <w:numId w:val="6"/>
              </w:numPr>
              <w:adjustRightInd w:val="0"/>
              <w:snapToGrid w:val="0"/>
              <w:rPr>
                <w:rFonts w:ascii="Times New Roman" w:hAnsi="Times New Roman" w:cs="Times New Roman"/>
                <w:szCs w:val="21"/>
              </w:rPr>
            </w:pPr>
            <w:r>
              <w:rPr>
                <w:rFonts w:ascii="Times New Roman" w:hAnsi="Times New Roman" w:cs="Times New Roman"/>
                <w:szCs w:val="21"/>
              </w:rPr>
              <w:t>除符合国土空间规划建设和布局要求，以及市级以上矿产资源总体规划、能源开发利用规划、线性工程规划外，原则上按限制开发区域的要求进行管理。</w:t>
            </w:r>
            <w:r>
              <w:rPr>
                <w:rFonts w:ascii="Times New Roman" w:hAnsi="Times New Roman" w:cs="Times New Roman"/>
                <w:szCs w:val="21"/>
              </w:rPr>
              <w:br w:type="textWrapping"/>
            </w:r>
            <w:r>
              <w:rPr>
                <w:rFonts w:ascii="Times New Roman" w:hAnsi="Times New Roman" w:cs="Times New Roman"/>
                <w:szCs w:val="21"/>
              </w:rPr>
              <w:t>2、矿产资源开发活动、新能源建设项目以及线性工程项目等要符合法律法规以及主体功能区规划、生态功能区划、环境保护总体规划、行业规划等规划要求，不得破坏生态、降低环境质量。要优化项目选址布局，严格控制开采量和开采区域，减少对生态空间的占用，不影响区域主导生态功能。要采取更加严格和有效的预防和保护措施，避免和减轻开发活动造成的生态破坏和环境污染。要严格落实项目环评的跟踪监测计划，项目开采（开工）、闭矿、跟踪监测要及时向所在地生态环境部门进行报备。加强矿山开采项目及其闭矿的环保督察，开展矿山区域生态环境质量飞行抽检。乡村振兴项目建设的审批简化和豁免要符合有关规定，不得影响区域主导生态功能、降低区域生态环境质量。</w:t>
            </w:r>
          </w:p>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3、生物多样性维护功能（极）重要区：禁止滥捕、乱采、乱猎野生动植物。保护自然生态系统与重要物种栖息地，禁止无序采矿、毁林开荒、湿地和草地开垦等各种损害栖息地的经济社会活动和生产方式。防止生态建设导致栖息环境的改变。加强对外来物种入侵的控制，禁止在生物多样性保护功能区引进外来物种。加强生物多样性资源调查与监测，保护和修复自然生态系统和重要物种栖息地，实施生物多样性保护工程。</w:t>
            </w:r>
          </w:p>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4、水源涵养功能（极）重要区内严格保护具有水源涵养功能的自然植被，禁止过度放牧、无序采矿、毁林开荒，限制或禁止湿地和草地开垦等损害生态系统水源涵养功能的活动。加强生态公益林改造和建设，通过封育恢复自然植被，促使其逐步向常绿阔叶林演化，提高水源涵养的功能；林产业向合理利用与保护建设相结合的生态型林业方向发展，保持森林生长与采伐利用的动态平衡，兼顾生态效益和经济效益，逐步恢复和改善地力；加强水土保持。</w:t>
            </w:r>
          </w:p>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5、依据《国家级公益林管理办法》（林资发〔2017〕34号）进行管理，严格控制勘查、开采矿藏和工程建设使用国家级公益林地。确需使用的，严格按照《建设项目使用林地审核审批管理办法》有关规定办理使用林地手续。涉及林木采伐的，按相关规定依法办理林木采伐手续。经审核审批同意使用的国家级公益林地，可按规定实行占补平衡。一级国家级公益林原则上不得开展生产经营活动，严禁打枝、采脂、割漆、剥树皮、掘根等行为。二级国家级公益林在不影响整体森林生态系统功能发挥的前提下，可以按照相关技术规程的规定开展抚育和更新性质的采伐。在不破坏森林植被的前提下，可以合理利用其林地资源，适度开展林下种植养殖和森林游憩等非木质资源开发与利用，科学发展林下经济。</w:t>
            </w:r>
          </w:p>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6、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ZH45070220001</w:t>
            </w:r>
          </w:p>
        </w:tc>
        <w:tc>
          <w:tcPr>
            <w:tcW w:w="1917" w:type="dxa"/>
            <w:vMerge w:val="restart"/>
            <w:shd w:val="clear" w:color="auto" w:fill="auto"/>
            <w:vAlign w:val="center"/>
          </w:tcPr>
          <w:p>
            <w:pPr>
              <w:adjustRightInd w:val="0"/>
              <w:snapToGrid w:val="0"/>
              <w:rPr>
                <w:rFonts w:ascii="Times New Roman" w:hAnsi="Times New Roman" w:cs="Times New Roman"/>
                <w:szCs w:val="21"/>
              </w:rPr>
            </w:pPr>
            <w:r>
              <w:rPr>
                <w:rFonts w:hint="eastAsia" w:ascii="Times New Roman" w:hAnsi="Times New Roman" w:eastAsia="宋体" w:cs="Times New Roman"/>
                <w:kern w:val="0"/>
                <w:szCs w:val="21"/>
              </w:rPr>
              <w:t>钦州综合保税区重点管控单元</w:t>
            </w:r>
          </w:p>
        </w:tc>
        <w:tc>
          <w:tcPr>
            <w:tcW w:w="1591"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pStyle w:val="31"/>
              <w:rPr>
                <w:kern w:val="0"/>
              </w:rPr>
            </w:pPr>
            <w:r>
              <w:rPr>
                <w:kern w:val="0"/>
              </w:rPr>
              <w:t>1、居住用地周边严控布局潜在污染扰民和环境风险突出的建设项目。</w:t>
            </w:r>
          </w:p>
          <w:p>
            <w:pPr>
              <w:pStyle w:val="31"/>
              <w:rPr>
                <w:kern w:val="0"/>
              </w:rPr>
            </w:pPr>
            <w:r>
              <w:rPr>
                <w:kern w:val="0"/>
              </w:rPr>
              <w:t>2、不得引进与园区产业定位不符的产业，引进项目清洁生产水平须达到国内同行业先进水平。</w:t>
            </w:r>
          </w:p>
          <w:p>
            <w:pPr>
              <w:pStyle w:val="31"/>
            </w:pPr>
            <w:r>
              <w:rPr>
                <w:kern w:val="0"/>
              </w:rPr>
              <w:t>3、园区产业准入执行《广西壮族自治区人民政府办公厅关于印发北钦防一体化产业协同发展限制布局清单（工业类2021年版）的通知》（桂政办函〔2021〕4号）要求，限制新建不符合综合保税区产业政策的产品加工制造和产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28" w:type="dxa"/>
            <w:shd w:val="clear" w:color="auto" w:fill="auto"/>
            <w:vAlign w:val="center"/>
          </w:tcPr>
          <w:p>
            <w:pPr>
              <w:pStyle w:val="31"/>
              <w:rPr>
                <w:kern w:val="0"/>
              </w:rPr>
            </w:pPr>
            <w:r>
              <w:rPr>
                <w:kern w:val="0"/>
              </w:rPr>
              <w:t>1、完善工业园区污水集中处理设施和配套管网。实行“清污分流、雨污分流”，实现废水分类收集、分质处理，入园企业应在达到国家或地方规定的排放标准后接入集中式污水处理设施处理，园区集中式污水处理设施总排口应安装自动监控系统、视频监控系统，并与环境保护主管部门联网。</w:t>
            </w:r>
          </w:p>
          <w:p>
            <w:pPr>
              <w:pStyle w:val="31"/>
              <w:rPr>
                <w:kern w:val="0"/>
              </w:rPr>
            </w:pPr>
            <w:r>
              <w:rPr>
                <w:kern w:val="0"/>
              </w:rPr>
              <w:t>2、强化工业企业无组织排放管理。</w:t>
            </w:r>
          </w:p>
          <w:p>
            <w:pPr>
              <w:pStyle w:val="31"/>
              <w:rPr>
                <w:kern w:val="0"/>
              </w:rPr>
            </w:pPr>
            <w:r>
              <w:rPr>
                <w:kern w:val="0"/>
              </w:rPr>
              <w:t>3、有条件的工业聚集区建设集中喷涂工程中心，配备高效治污设施，替代企业独立喷涂工序。推动重点行业挥发性有机物（VOCs）污染防治，强化企业精细化管控、无组织废气排放控制以及高效治污设施建设，严格控制挥发性有机污染物排放。</w:t>
            </w:r>
          </w:p>
          <w:p>
            <w:pPr>
              <w:pStyle w:val="31"/>
            </w:pPr>
            <w:r>
              <w:rPr>
                <w:kern w:val="0"/>
              </w:rPr>
              <w:t>4、工业固废以循环经济的理念进行处置，逐步实行垃圾分类收集，危险工业垃圾独立安全处置。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66"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28" w:type="dxa"/>
            <w:shd w:val="clear" w:color="auto" w:fill="auto"/>
            <w:vAlign w:val="center"/>
          </w:tcPr>
          <w:p>
            <w:pPr>
              <w:pStyle w:val="31"/>
              <w:rPr>
                <w:kern w:val="0"/>
              </w:rPr>
            </w:pPr>
            <w:r>
              <w:rPr>
                <w:kern w:val="0"/>
              </w:rPr>
              <w:t>1、入区项目应严格落实环境保护措施和环境风险防范措施，确保园区周边麻兰岛旅游度假区、鹿耳环江红树林生态安全。</w:t>
            </w:r>
          </w:p>
          <w:p>
            <w:pPr>
              <w:pStyle w:val="31"/>
            </w:pPr>
            <w:r>
              <w:rPr>
                <w:kern w:val="0"/>
              </w:rPr>
              <w:t>2、开展环境风险评估，制定突发环境事件应急预案并备案，配备应急能力和物资，建设环境应急队伍，并定期演练。企业、园区与地方人民政府环境应急预案应当有机衔接。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rPr>
              <w:t>资源开发利用效率要求</w:t>
            </w:r>
          </w:p>
        </w:tc>
        <w:tc>
          <w:tcPr>
            <w:tcW w:w="8928" w:type="dxa"/>
            <w:shd w:val="clear" w:color="auto" w:fill="auto"/>
            <w:vAlign w:val="center"/>
          </w:tcPr>
          <w:p>
            <w:pPr>
              <w:pStyle w:val="31"/>
              <w:rPr>
                <w:kern w:val="0"/>
              </w:rPr>
            </w:pPr>
            <w:r>
              <w:rPr>
                <w:kern w:val="0"/>
              </w:rPr>
              <w:t>1、提高工业用水循环利用率，减少工业新鲜水用量，提高企业中水回用率。</w:t>
            </w:r>
          </w:p>
          <w:p>
            <w:pPr>
              <w:pStyle w:val="31"/>
            </w:pPr>
            <w:r>
              <w:rPr>
                <w:kern w:val="0"/>
              </w:rPr>
              <w:t>2、推进区域土地节约集约利用，优先保障区域主导产业发展用地。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08" w:hRule="atLeast"/>
        </w:trPr>
        <w:tc>
          <w:tcPr>
            <w:tcW w:w="199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ZH45070220002</w:t>
            </w:r>
          </w:p>
        </w:tc>
        <w:tc>
          <w:tcPr>
            <w:tcW w:w="1917"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广西钦州高新技术产业开发区重点管控单元</w:t>
            </w:r>
          </w:p>
        </w:tc>
        <w:tc>
          <w:tcPr>
            <w:tcW w:w="1591"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pStyle w:val="31"/>
              <w:rPr>
                <w:kern w:val="0"/>
              </w:rPr>
            </w:pPr>
            <w:r>
              <w:rPr>
                <w:kern w:val="0"/>
              </w:rPr>
              <w:t>1、居住用地周边严控布局潜在污染扰民和环境风险突出的建设项目。</w:t>
            </w:r>
          </w:p>
          <w:p>
            <w:pPr>
              <w:pStyle w:val="31"/>
              <w:rPr>
                <w:kern w:val="0"/>
              </w:rPr>
            </w:pPr>
            <w:r>
              <w:rPr>
                <w:kern w:val="0"/>
              </w:rPr>
              <w:t>2、不得引进与园区产业定位不符的产业，引进项目清洁生产水平须达到国内同行业先进水平。</w:t>
            </w:r>
          </w:p>
          <w:p>
            <w:pPr>
              <w:pStyle w:val="31"/>
            </w:pPr>
            <w:r>
              <w:rPr>
                <w:kern w:val="0"/>
              </w:rPr>
              <w:t>3、园区产业准入执行《广西壮族自治区人民政府办公厅关于印发北钦防一体化产业协同发展限制布局清单（工业类2021年版）的通知》（桂政办函〔2021〕4号）要求，限制新建纸浆制造、原油加工及石油制品制造、水泥制造、建筑陶瓷制品制造、有色金属冶炼等工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28" w:type="dxa"/>
            <w:shd w:val="clear" w:color="auto" w:fill="auto"/>
            <w:vAlign w:val="center"/>
          </w:tcPr>
          <w:p>
            <w:pPr>
              <w:pStyle w:val="31"/>
              <w:rPr>
                <w:kern w:val="0"/>
              </w:rPr>
            </w:pPr>
            <w:r>
              <w:rPr>
                <w:kern w:val="0"/>
              </w:rPr>
              <w:t>1、完善工业园区污水集中处理设施和配套管网。实行“清污分流、雨污分流”，实现废水分类收集、分质处理，入园企业应在达到国家或地方规定的排放标准后接入集中式污水处理设施处理，园区集中式污水处理设施总排口应安装自动监控系统、视频监控系统，并与环境保护主管部门联网。</w:t>
            </w:r>
          </w:p>
          <w:p>
            <w:pPr>
              <w:pStyle w:val="31"/>
              <w:rPr>
                <w:kern w:val="0"/>
              </w:rPr>
            </w:pPr>
            <w:r>
              <w:rPr>
                <w:kern w:val="0"/>
              </w:rPr>
              <w:t>2、强化工业企业无组织排放管理。矿产资源勘查以及采选过程中排土场、露天采场、尾矿库、矿区专用道路、矿山工业场地、沉陷区、矸石场、矿山污染场地等的生态环境保护与治理恢复工作须满足《矿山生态环境保护与恢复治理技术规范（试行）》（HJ651-2013）要求。落实边开采、边保护、边复垦的要求，使新建、在建矿山损毁土地得到全面复垦。</w:t>
            </w:r>
          </w:p>
          <w:p>
            <w:pPr>
              <w:pStyle w:val="31"/>
              <w:rPr>
                <w:kern w:val="0"/>
              </w:rPr>
            </w:pPr>
            <w:r>
              <w:rPr>
                <w:kern w:val="0"/>
              </w:rPr>
              <w:t>3、有条件的工业聚集区建设集中喷涂工程中心，配备高效治污设施，替代企业独立喷涂工序。推动重点行业挥发性有机物（VOCs）污染防治，强化企业精细化管控、无组织废气排放控制以及高效治污设施建设，严格控制挥发性有机污染物排放。</w:t>
            </w:r>
          </w:p>
          <w:p>
            <w:pPr>
              <w:pStyle w:val="31"/>
            </w:pPr>
            <w:r>
              <w:rPr>
                <w:kern w:val="0"/>
              </w:rPr>
              <w:t>4、加强固体废物处置，减量化优先、资源化为本、无害化处置、市场化运作。对危险固废由钦州集中处理，尽量通过焚烧或化学处理等无害化方法处理。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28" w:type="dxa"/>
            <w:shd w:val="clear" w:color="auto" w:fill="auto"/>
            <w:vAlign w:val="center"/>
          </w:tcPr>
          <w:p>
            <w:pPr>
              <w:pStyle w:val="31"/>
              <w:rPr>
                <w:kern w:val="0"/>
              </w:rPr>
            </w:pPr>
            <w:r>
              <w:rPr>
                <w:kern w:val="0"/>
              </w:rPr>
              <w:t>1、开展环境风险评估，制定突发环境事件应急预案并备案，配备应急能力和物资，建设环境应急队伍，并定期演练。企业、园区与地方人民政府环境应急预案应当有机衔接。</w:t>
            </w:r>
          </w:p>
          <w:p>
            <w:pPr>
              <w:pStyle w:val="31"/>
            </w:pPr>
            <w:r>
              <w:rPr>
                <w:kern w:val="0"/>
              </w:rPr>
              <w:t>2、土壤污染重点监管单位应当严格控制有毒有害物质排放，并按年度向生态环境主管部门报告排放情况；建立土壤污染隐患排查制度，保证持续有效防止有毒有害物质渗漏、流失、扬散；制定、实施自行监测方案，并将监测数据报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28" w:type="dxa"/>
            <w:shd w:val="clear" w:color="auto" w:fill="auto"/>
            <w:vAlign w:val="center"/>
          </w:tcPr>
          <w:p>
            <w:pPr>
              <w:pStyle w:val="31"/>
              <w:rPr>
                <w:kern w:val="0"/>
              </w:rPr>
            </w:pPr>
            <w:r>
              <w:rPr>
                <w:kern w:val="0"/>
              </w:rPr>
              <w:t>依据《钦州市人民政府关于划定高污染燃料禁燃区的通告》，高污染燃料为：（一）除单台出力大于等于20蒸吨/小时锅炉以外的燃用煤炭及其制品；（二）石油焦、油页岩、原油、重油、渣油、煤焦油，以及各种可燃废物和直接燃用的生物质非成型燃料（树木、秸秆、锯末、稻壳、蔗渣等）。</w:t>
            </w:r>
          </w:p>
          <w:p>
            <w:pPr>
              <w:pStyle w:val="31"/>
            </w:pPr>
            <w:r>
              <w:rPr>
                <w:kern w:val="0"/>
              </w:rPr>
              <w:t>高污染燃料禁燃区内在集中供热管网或者燃气管网覆盖范围内的单台出力小于20蒸吨/小时的锅炉、窑炉等燃用高污染燃料设施，应当改用集中供热或者改用天然气、电等清洁能源；未在集中供热管网或者燃气管网覆盖范围内的，可以改用生物质成型燃料或者其他清洁能源，以淘汰燃用高污染燃料的锅炉、窑炉等燃烧设施。单台出力65蒸吨/小时以上燃煤机组按照国家相关污染物排放标准有序开展超低排放改造。禁燃区内禁止新建、扩建燃用高污染燃料的锅炉、窑炉等燃烧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ZH45070220003</w:t>
            </w:r>
          </w:p>
        </w:tc>
        <w:tc>
          <w:tcPr>
            <w:tcW w:w="1917"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广西钦州石化产业园重点管控单元</w:t>
            </w:r>
          </w:p>
        </w:tc>
        <w:tc>
          <w:tcPr>
            <w:tcW w:w="1591"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1、依据《国务院关于加强滨海湿地保护严格管控围填海的通知》，除国家重大战略项目外，原则上禁止新增围填海项目。</w:t>
            </w:r>
            <w:r>
              <w:rPr>
                <w:rFonts w:ascii="Times New Roman" w:hAnsi="Times New Roman" w:eastAsia="宋体" w:cs="Times New Roman"/>
              </w:rPr>
              <w:t>三墩片区布局</w:t>
            </w:r>
            <w:r>
              <w:rPr>
                <w:rFonts w:ascii="Times New Roman" w:hAnsi="Times New Roman" w:cs="Times New Roman"/>
                <w:szCs w:val="21"/>
              </w:rPr>
              <w:t>国家重大项目确需新增围填海的，须严格论证对中华白海豚等重点保护动物及其生境的影响，审慎决策，最大限度减轻不良环境影响。</w:t>
            </w:r>
          </w:p>
          <w:p>
            <w:pPr>
              <w:adjustRightInd w:val="0"/>
              <w:snapToGrid w:val="0"/>
              <w:rPr>
                <w:rFonts w:ascii="Times New Roman" w:hAnsi="Times New Roman" w:cs="Times New Roman"/>
                <w:szCs w:val="21"/>
              </w:rPr>
            </w:pPr>
            <w:r>
              <w:rPr>
                <w:rFonts w:ascii="Times New Roman" w:hAnsi="Times New Roman" w:cs="Times New Roman"/>
                <w:szCs w:val="21"/>
              </w:rPr>
              <w:t>2、建设项目应为石化产业园区产业链范围内的项目，选址应符合石化产业园区规划的功能分区。禁止引进不符合国家产业政策和相关行业准入条件，清洁生产水平不达标、装置单位产品能源消耗限额不达标、污染物排放不达标的项目。</w:t>
            </w:r>
          </w:p>
          <w:p>
            <w:pPr>
              <w:adjustRightInd w:val="0"/>
              <w:snapToGrid w:val="0"/>
              <w:rPr>
                <w:rFonts w:ascii="Times New Roman" w:hAnsi="Times New Roman" w:cs="Times New Roman"/>
                <w:szCs w:val="21"/>
              </w:rPr>
            </w:pPr>
            <w:r>
              <w:rPr>
                <w:rFonts w:ascii="Times New Roman" w:hAnsi="Times New Roman" w:cs="Times New Roman"/>
                <w:szCs w:val="21"/>
              </w:rPr>
              <w:t>3、优化园区规划空间布局，对丙烯腈、苯乙烯、环氧丙烷等新引进项目加强源头风险管控；丙烯腈装置原则上应配套MMA装置同步建设，及时消耗丙烯腈装置产生的氢氰酸和废酸，降低环境风险。</w:t>
            </w:r>
          </w:p>
          <w:p>
            <w:pPr>
              <w:adjustRightInd w:val="0"/>
              <w:snapToGrid w:val="0"/>
              <w:rPr>
                <w:rFonts w:ascii="Times New Roman" w:hAnsi="Times New Roman" w:cs="Times New Roman"/>
                <w:szCs w:val="21"/>
              </w:rPr>
            </w:pPr>
            <w:r>
              <w:rPr>
                <w:rFonts w:ascii="Times New Roman" w:hAnsi="Times New Roman" w:cs="Times New Roman"/>
                <w:szCs w:val="21"/>
              </w:rPr>
              <w:t>4、居住用地周边严控布局潜在污染扰民和环境风险突出的建设项目。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28"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1、大力推进低氮燃烧和烟气脱硝，有序推进园区集中供热。</w:t>
            </w:r>
          </w:p>
          <w:p>
            <w:pPr>
              <w:adjustRightInd w:val="0"/>
              <w:snapToGrid w:val="0"/>
              <w:rPr>
                <w:rFonts w:ascii="Times New Roman" w:hAnsi="Times New Roman" w:cs="Times New Roman"/>
              </w:rPr>
            </w:pPr>
            <w:r>
              <w:rPr>
                <w:rFonts w:ascii="Times New Roman" w:hAnsi="Times New Roman" w:cs="Times New Roman"/>
              </w:rPr>
              <w:t>2、推动石化、化工等重点行业挥发性有机物（VOCs）污染防治。推动石化行业VOCs泄漏检测与修复行动、VOCs削减和有毒有害原料替代。</w:t>
            </w:r>
          </w:p>
          <w:p>
            <w:pPr>
              <w:adjustRightInd w:val="0"/>
              <w:snapToGrid w:val="0"/>
              <w:rPr>
                <w:rFonts w:ascii="Times New Roman" w:hAnsi="Times New Roman" w:cs="Times New Roman"/>
              </w:rPr>
            </w:pPr>
            <w:r>
              <w:rPr>
                <w:rFonts w:ascii="Times New Roman" w:hAnsi="Times New Roman" w:cs="Times New Roman"/>
              </w:rPr>
              <w:t>3、石化、化工行业全面推进行业达标排放改造。</w:t>
            </w:r>
          </w:p>
          <w:p>
            <w:pPr>
              <w:adjustRightInd w:val="0"/>
              <w:snapToGrid w:val="0"/>
              <w:rPr>
                <w:rFonts w:ascii="Times New Roman" w:hAnsi="Times New Roman" w:cs="Times New Roman"/>
              </w:rPr>
            </w:pPr>
            <w:r>
              <w:rPr>
                <w:rFonts w:ascii="Times New Roman" w:hAnsi="Times New Roman" w:cs="Times New Roman"/>
              </w:rPr>
              <w:t>4、逐步完成工业集聚区集中式污水处理设施建设，确保已建污水处理设施稳定运行及达标排放。园区集中式污水处理设施总排口安装自动监控系统、视频监控系统，并与生态环境主管部门联网。按照“清污分流、雨污分流”原则，实施废水分类收集、分质处理。</w:t>
            </w:r>
          </w:p>
          <w:p>
            <w:pPr>
              <w:pStyle w:val="2"/>
              <w:rPr>
                <w:rFonts w:hint="default" w:ascii="Times New Roman" w:hAnsi="Times New Roman"/>
              </w:rPr>
            </w:pPr>
            <w:r>
              <w:rPr>
                <w:rFonts w:hint="default" w:ascii="Times New Roman" w:hAnsi="Times New Roman" w:eastAsiaTheme="minorEastAsia"/>
                <w:kern w:val="2"/>
                <w:sz w:val="21"/>
                <w:szCs w:val="24"/>
              </w:rPr>
              <w:t>5、园区及园区企业排放水污染物，要满足国家或者地方规定的水污染物排放标准和重点水污染物排放总量控制指标。直接外排水环境的，执行国家或者地方规定的标准要求；经城镇污水集中处理设施处理后排放的，执行市政部门管理要求；经园区污水集中处理设施处理后排放的，执行园区管理部门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2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1、建设项目应严格落实环境保护措施和环境风险防范措施，减缓对周边海域和陆域生态环境敏感区的不良环境影响。</w:t>
            </w:r>
          </w:p>
          <w:p>
            <w:pPr>
              <w:adjustRightInd w:val="0"/>
              <w:snapToGrid w:val="0"/>
              <w:rPr>
                <w:rFonts w:ascii="Times New Roman" w:hAnsi="Times New Roman" w:cs="Times New Roman"/>
                <w:szCs w:val="21"/>
              </w:rPr>
            </w:pPr>
            <w:r>
              <w:rPr>
                <w:rFonts w:ascii="Times New Roman" w:hAnsi="Times New Roman" w:cs="Times New Roman"/>
                <w:szCs w:val="21"/>
              </w:rPr>
              <w:t>2、三墩片区实行封闭式管理。开展环境风险评估，制定突发环境事件应急预案并备案，配备应急能力和物资，建设环境应急队伍，并定期演练。企业、园区与地方人民政府环境应急预案应当有机衔接。</w:t>
            </w:r>
          </w:p>
          <w:p>
            <w:pPr>
              <w:adjustRightInd w:val="0"/>
              <w:snapToGrid w:val="0"/>
              <w:rPr>
                <w:rFonts w:ascii="Times New Roman" w:hAnsi="Times New Roman" w:cs="Times New Roman"/>
                <w:szCs w:val="21"/>
              </w:rPr>
            </w:pPr>
            <w:r>
              <w:rPr>
                <w:rFonts w:ascii="Times New Roman" w:hAnsi="Times New Roman" w:cs="Times New Roman"/>
                <w:szCs w:val="21"/>
              </w:rPr>
              <w:t>3、土壤污染重点监管单位应当严格控制有毒有害物质排放，并按年度向所在地设区的市人民政府生态环境主管部门报告排放情况；建立土壤污染隐患排查制度，保证持续有效防止有毒有害物质渗漏、流失、扬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2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rPr>
              <w:t>高污染燃料禁燃区内在集中供热管网或者燃气管网覆盖范围内的单台出力小于20蒸吨/小时的锅炉、窑炉等燃用高污染燃料设施，应当改用集中供热或者改用天然气、电等清洁能源；未在集中供热管网或者燃气管网覆盖范围内的，可以改用生物质成型燃料或者其他清洁能源，以淘汰燃用高污染燃料的锅炉、窑炉等燃烧设施。单台出力65蒸吨/小时以上燃煤机组按照国家相关污染物排放标准有序开展超低排放改造。禁燃区内禁止新建、扩建燃用高污染燃料的锅炉、窑炉等燃烧设施。（依据《钦州市人民政府关于划定高污染燃料禁燃区的通告》，高污染燃料为：（一）除单台出力大于等于20蒸吨/小时锅炉以外的燃用煤炭及其制品；（二）石油焦、油页岩、原油、重油、渣油、煤焦油，以及各种可燃废物和直接燃用的生物质非成型燃料〈树木、秸秆、锯末、稻壳、蔗渣等〉）</w:t>
            </w:r>
            <w:r>
              <w:rPr>
                <w:rFonts w:hint="eastAsia"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ZH45070220004</w:t>
            </w:r>
          </w:p>
        </w:tc>
        <w:tc>
          <w:tcPr>
            <w:tcW w:w="1917"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钦州港经济技术开发区重点管控单元</w:t>
            </w:r>
          </w:p>
        </w:tc>
        <w:tc>
          <w:tcPr>
            <w:tcW w:w="1591"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pStyle w:val="31"/>
              <w:rPr>
                <w:kern w:val="0"/>
              </w:rPr>
            </w:pPr>
            <w:r>
              <w:rPr>
                <w:kern w:val="0"/>
              </w:rPr>
              <w:t>1、引进项目清洁生产水平须达到国内同行业先进水平。不得引进与园区产业定位不符的产业。</w:t>
            </w:r>
          </w:p>
          <w:p>
            <w:pPr>
              <w:pStyle w:val="31"/>
              <w:rPr>
                <w:kern w:val="0"/>
              </w:rPr>
            </w:pPr>
            <w:r>
              <w:rPr>
                <w:kern w:val="0"/>
              </w:rPr>
              <w:t>2、居住用地周边严控布局潜在污染扰民和环境风险突出的建设项目。</w:t>
            </w:r>
          </w:p>
          <w:p>
            <w:pPr>
              <w:pStyle w:val="31"/>
            </w:pPr>
            <w:r>
              <w:rPr>
                <w:kern w:val="0"/>
              </w:rPr>
              <w:t>3、园区产业准入执行《广西壮族自治区人民政府办公厅关于印发北钦防一体化产业协同发展限制布局清单（工业类2021年版）的通知》（桂政办函〔2021〕4号）要求，限制新建水泥制造、建筑陶瓷制品制造、制革及毛皮加工等工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28" w:type="dxa"/>
            <w:shd w:val="clear" w:color="auto" w:fill="auto"/>
            <w:vAlign w:val="center"/>
          </w:tcPr>
          <w:p>
            <w:pPr>
              <w:pStyle w:val="31"/>
              <w:rPr>
                <w:kern w:val="0"/>
              </w:rPr>
            </w:pPr>
            <w:r>
              <w:rPr>
                <w:kern w:val="0"/>
              </w:rPr>
              <w:t>1、推动石化、化工等重点行业挥发性有机物（VOCs）污染防治。推动石化行业VOCs泄漏检测与修复行动、VOCs削减和有毒有害原料替代。</w:t>
            </w:r>
          </w:p>
          <w:p>
            <w:pPr>
              <w:pStyle w:val="31"/>
              <w:rPr>
                <w:kern w:val="0"/>
              </w:rPr>
            </w:pPr>
            <w:r>
              <w:rPr>
                <w:kern w:val="0"/>
              </w:rPr>
              <w:t>2、石化行业全面推进行业达标排放改造，新建、改建、扩建涉及重点重金属排放建设项目依照相关规定实行总量控制。</w:t>
            </w:r>
          </w:p>
          <w:p>
            <w:pPr>
              <w:pStyle w:val="31"/>
              <w:rPr>
                <w:kern w:val="0"/>
              </w:rPr>
            </w:pPr>
            <w:r>
              <w:rPr>
                <w:kern w:val="0"/>
              </w:rPr>
              <w:t>3、完善工业园区污水集中处理设施和配套管网。实行“清污分流、雨污分流”，实现废水分类收集、分质处理，入园企业应在达到国家或地方规定的排放标准后接入集中式污水处理设施处理，园区集中式污水处理设施总排口应安装自动监控系统、视频监控系统，并与环境保护主管部门联网。</w:t>
            </w:r>
          </w:p>
          <w:p>
            <w:pPr>
              <w:pStyle w:val="31"/>
              <w:rPr>
                <w:kern w:val="0"/>
              </w:rPr>
            </w:pPr>
            <w:r>
              <w:rPr>
                <w:kern w:val="0"/>
              </w:rPr>
              <w:t>4、加强园区无组织废气排放管理。</w:t>
            </w:r>
          </w:p>
          <w:p>
            <w:pPr>
              <w:pStyle w:val="31"/>
            </w:pPr>
            <w:r>
              <w:rPr>
                <w:kern w:val="0"/>
              </w:rPr>
              <w:t>5、强化固体废物减量化、资源化和无害化控制原则处置，尽量实现废物的综合利用，危险废物应交由有危废处理资质的单位进行安全处置。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28" w:type="dxa"/>
            <w:shd w:val="clear" w:color="auto" w:fill="auto"/>
            <w:vAlign w:val="center"/>
          </w:tcPr>
          <w:p>
            <w:pPr>
              <w:pStyle w:val="31"/>
              <w:rPr>
                <w:kern w:val="0"/>
              </w:rPr>
            </w:pPr>
            <w:r>
              <w:rPr>
                <w:kern w:val="0"/>
              </w:rPr>
              <w:t>1、开展环境风险评估，制定突发环境事件应急预案并备案，配备应急能力和物资，建设环境应急队伍，并定期演练。企业、园区与地方人民政府环境应急预案应当有机衔接。</w:t>
            </w:r>
          </w:p>
          <w:p>
            <w:pPr>
              <w:pStyle w:val="31"/>
              <w:rPr>
                <w:kern w:val="0"/>
              </w:rPr>
            </w:pPr>
            <w:r>
              <w:rPr>
                <w:kern w:val="0"/>
              </w:rPr>
              <w:t>2、土壤污染重点监管单位应当严格控制有毒有害物质排放，并按年度向生态环境主管部门报告排放情况；建立土壤污染隐患排查制度，保证持续有效防止有毒有害物质渗漏、流失、扬散；制定、实施自行监测方案，并将监测数据报生态环境主管部门。</w:t>
            </w:r>
          </w:p>
          <w:p>
            <w:pPr>
              <w:pStyle w:val="31"/>
            </w:pPr>
            <w:r>
              <w:rPr>
                <w:kern w:val="0"/>
              </w:rPr>
              <w:t>3、建设项目应严格落实环境保护措施和环境风险防范措施，减缓对周边生态环境敏感区的不良环境影响。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28" w:type="dxa"/>
            <w:shd w:val="clear" w:color="auto" w:fill="auto"/>
            <w:vAlign w:val="center"/>
          </w:tcPr>
          <w:p>
            <w:pPr>
              <w:pStyle w:val="31"/>
              <w:rPr>
                <w:kern w:val="0"/>
              </w:rPr>
            </w:pPr>
            <w:r>
              <w:rPr>
                <w:kern w:val="0"/>
              </w:rPr>
              <w:t>1、污染物排放以及用水、能耗、物耗、岸线与土地利用等资源环境指标达到行业先进水平。</w:t>
            </w:r>
          </w:p>
          <w:p>
            <w:pPr>
              <w:pStyle w:val="31"/>
              <w:rPr>
                <w:kern w:val="0"/>
              </w:rPr>
            </w:pPr>
            <w:r>
              <w:rPr>
                <w:kern w:val="0"/>
              </w:rPr>
              <w:t>2、依据《钦州市人民政府关于划定高污染燃料禁燃区的通告》，高污染燃料为：（一）除单台出力大于等于20蒸吨/小时锅炉以外的燃用煤炭及其制品；（二）石油焦、油页岩、原油、重油、渣油、煤焦油，以及各种可燃废物和直接燃用的生物质非成型燃料（树木、秸秆、锯末、稻壳、蔗渣等）。</w:t>
            </w:r>
          </w:p>
          <w:p>
            <w:pPr>
              <w:pStyle w:val="31"/>
            </w:pPr>
            <w:r>
              <w:rPr>
                <w:kern w:val="0"/>
              </w:rPr>
              <w:t>高污染燃料禁燃区内在集中供热管网或者燃气管网覆盖范围内的单台出力小于20蒸吨/小时的锅炉、窑炉等燃用高污染燃料设施，应当改用集中供热或者改用天然气、电等清洁能源；未在集中供热管网或者燃气管网覆盖范围内的，可以改用生物质成型燃料或者其他清洁能源，以淘汰燃用高污染燃料的锅炉、窑炉等燃烧设施。单台出力65蒸吨/小时以上燃煤机组按照国家相关污染物排放标准有序开展超低排放改造。禁燃区内禁止新建、扩建燃用高污染燃料的锅炉、窑炉等燃烧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ZH45070220005</w:t>
            </w:r>
          </w:p>
        </w:tc>
        <w:tc>
          <w:tcPr>
            <w:tcW w:w="1917"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钦南区金窝工业区重点管控单元</w:t>
            </w:r>
          </w:p>
        </w:tc>
        <w:tc>
          <w:tcPr>
            <w:tcW w:w="1591"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pStyle w:val="2"/>
              <w:snapToGrid w:val="0"/>
              <w:rPr>
                <w:rFonts w:hint="default" w:ascii="Times New Roman" w:hAnsi="Times New Roman" w:eastAsiaTheme="minorEastAsia"/>
                <w:color w:val="auto"/>
                <w:kern w:val="2"/>
                <w:sz w:val="21"/>
                <w:szCs w:val="24"/>
              </w:rPr>
            </w:pPr>
            <w:r>
              <w:rPr>
                <w:rFonts w:hint="default" w:ascii="Times New Roman" w:hAnsi="Times New Roman" w:eastAsiaTheme="minorEastAsia"/>
                <w:color w:val="auto"/>
                <w:kern w:val="2"/>
                <w:sz w:val="21"/>
                <w:szCs w:val="24"/>
              </w:rPr>
              <w:t>1、居住用地周边严控布局潜在污染扰民和环境风险突出的建设项目。</w:t>
            </w:r>
          </w:p>
          <w:p>
            <w:pPr>
              <w:pStyle w:val="2"/>
              <w:rPr>
                <w:rFonts w:hint="default" w:ascii="Times New Roman" w:hAnsi="Times New Roman" w:eastAsiaTheme="minorEastAsia"/>
                <w:color w:val="auto"/>
                <w:kern w:val="2"/>
                <w:sz w:val="21"/>
                <w:szCs w:val="24"/>
              </w:rPr>
            </w:pPr>
            <w:r>
              <w:rPr>
                <w:rFonts w:hint="default" w:ascii="Times New Roman" w:hAnsi="Times New Roman" w:eastAsiaTheme="minorEastAsia"/>
                <w:color w:val="auto"/>
                <w:kern w:val="2"/>
                <w:sz w:val="21"/>
                <w:szCs w:val="24"/>
              </w:rPr>
              <w:t>2、新建大气污染物排放的工业项目，原则上应当进入工业园区或者工业集聚区；加快布局分散的企业向园区集中。</w:t>
            </w:r>
          </w:p>
          <w:p>
            <w:pPr>
              <w:pStyle w:val="2"/>
              <w:rPr>
                <w:rFonts w:hint="default" w:ascii="Times New Roman" w:hAnsi="Times New Roman" w:eastAsiaTheme="minorEastAsia"/>
                <w:color w:val="auto"/>
                <w:kern w:val="2"/>
                <w:sz w:val="21"/>
                <w:szCs w:val="24"/>
              </w:rPr>
            </w:pPr>
            <w:r>
              <w:rPr>
                <w:rFonts w:hint="default" w:ascii="Times New Roman" w:hAnsi="Times New Roman" w:eastAsiaTheme="minorEastAsia"/>
                <w:color w:val="auto"/>
                <w:kern w:val="2"/>
                <w:sz w:val="21"/>
                <w:szCs w:val="24"/>
              </w:rPr>
              <w:t>3、产业园区管理机构应将规划环评结论及审查意见落实到规划中。负责统筹区域内生态环境基础设施建设，不得引入不符合规划环评结论及审查意见的项目入园。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28"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深化园区工业污染治理，持续推进工业污染源全面达标排放，开展烟气高效脱硫脱硝、除尘改造。推进各类园区技术、工艺、设备等生态化、循环化改造，积极推广园区集中供热。强化园区堆场扬尘控制。推动重点行业VOCs的排放管控，加强VOCs排放企业源头控制。加强园区无组织废气排放管理。</w:t>
            </w:r>
          </w:p>
          <w:p>
            <w:pPr>
              <w:adjustRightInd w:val="0"/>
              <w:snapToGrid w:val="0"/>
              <w:rPr>
                <w:rFonts w:ascii="Times New Roman" w:hAnsi="Times New Roman" w:cs="Times New Roman"/>
              </w:rPr>
            </w:pPr>
            <w:r>
              <w:rPr>
                <w:rFonts w:ascii="Times New Roman" w:hAnsi="Times New Roman" w:cs="Times New Roman"/>
              </w:rPr>
              <w:t>2、逐步完成工业集聚区集中式污水处理设施建设，确保已建污水处理设施稳定运行及达标排放。园区集中式污水处理设施总排口安装自动监控系统、视频监控系统，并与生态环境主管部门联网。按照“清污分流、雨污分流”原则，实施废水分类收集、分质处理。</w:t>
            </w:r>
          </w:p>
          <w:p>
            <w:pPr>
              <w:pStyle w:val="2"/>
              <w:rPr>
                <w:rFonts w:hint="default" w:ascii="Times New Roman" w:hAnsi="Times New Roman"/>
              </w:rPr>
            </w:pPr>
            <w:r>
              <w:rPr>
                <w:rFonts w:hint="default" w:ascii="Times New Roman" w:hAnsi="Times New Roman" w:eastAsiaTheme="minorEastAsia"/>
                <w:kern w:val="2"/>
                <w:sz w:val="21"/>
                <w:szCs w:val="24"/>
              </w:rPr>
              <w:t>3、园区及园区企业排放水污染物，要满足国家或者地方规定的水污染物排放标准和重点水污染物排放总量控制指标。直接外排水环境的，执行国家或者地方规定的标准要求；经城镇污水集中处理设施处理后排放的，执行市政部门管理要求；经园区污水集中处理设施处理后排放的，执行园区管理部门相关要求。</w:t>
            </w:r>
          </w:p>
          <w:p>
            <w:pPr>
              <w:pStyle w:val="2"/>
              <w:rPr>
                <w:rFonts w:hint="default" w:ascii="Times New Roman" w:hAnsi="Times New Roman"/>
                <w:color w:val="auto"/>
              </w:rPr>
            </w:pPr>
            <w:r>
              <w:rPr>
                <w:rFonts w:hint="default" w:ascii="Times New Roman" w:hAnsi="Times New Roman" w:eastAsiaTheme="minorEastAsia"/>
                <w:color w:val="auto"/>
                <w:kern w:val="2"/>
                <w:sz w:val="21"/>
                <w:szCs w:val="24"/>
              </w:rPr>
              <w:t>4、矿产资源勘查以及采选过程中排土场、露天采场、尾矿库、矿区专用道路、矿山工业场地、沉陷区、矸石场、矿山污染场地等的生态环境保护与治理恢复工作须满足《矿山生态环境保护与恢复治理技术规范（试行）》（HJ651-2013）要求。落实边开采、边保护、边复垦的要求，使新建、在建矿山损毁土地得到全面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28" w:type="dxa"/>
            <w:shd w:val="clear" w:color="auto" w:fill="auto"/>
            <w:vAlign w:val="center"/>
          </w:tcPr>
          <w:p>
            <w:pPr>
              <w:rPr>
                <w:rFonts w:ascii="Times New Roman" w:hAnsi="Times New Roman" w:cs="Times New Roman"/>
              </w:rPr>
            </w:pPr>
            <w:r>
              <w:rPr>
                <w:rFonts w:ascii="Times New Roman" w:hAnsi="Times New Roman" w:cs="Times New Roman"/>
                <w:szCs w:val="21"/>
              </w:rPr>
              <w:t>1、开展环境风险评估，制定突发环境事件应急预案并备案，配备应急能力和物资，建设环境应急队伍，并定期演练。企业、园区与地方人民政府环境应急预案应当有机衔接。</w:t>
            </w:r>
          </w:p>
          <w:p>
            <w:pPr>
              <w:adjustRightInd w:val="0"/>
              <w:snapToGrid w:val="0"/>
              <w:rPr>
                <w:rFonts w:ascii="Times New Roman" w:hAnsi="Times New Roman" w:cs="Times New Roman"/>
                <w:szCs w:val="21"/>
              </w:rPr>
            </w:pPr>
            <w:r>
              <w:rPr>
                <w:rFonts w:ascii="Times New Roman" w:hAnsi="Times New Roman" w:cs="Times New Roman"/>
                <w:szCs w:val="21"/>
              </w:rPr>
              <w:t>2、防范园区污水排放对大风江至金窝水库饮用水水源保护区调水通道的环境风险。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2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禁燃区内禁止销售、使用原煤等高污染燃料，现有燃用高污染燃料的设施应在规定期限内停止燃用高污染燃料，改用天然气、液化石油气、电或者其他清洁能源。其余按照《钦州市人民政府关于划定高污染燃料禁燃区的通告》要求实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ZH45070220006</w:t>
            </w:r>
          </w:p>
        </w:tc>
        <w:tc>
          <w:tcPr>
            <w:tcW w:w="1917"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中国-马来西亚钦州产业园区重点管控单元</w:t>
            </w:r>
          </w:p>
        </w:tc>
        <w:tc>
          <w:tcPr>
            <w:tcW w:w="1591"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pStyle w:val="31"/>
              <w:rPr>
                <w:kern w:val="0"/>
              </w:rPr>
            </w:pPr>
            <w:r>
              <w:rPr>
                <w:kern w:val="0"/>
              </w:rPr>
              <w:t>1、禁止引进不符合中马产业园规划定位的高污染、高能耗项目；禁止引进排放铅、镉、汞、铬和砷五种重金属的项目；禁止引进可能破坏园区规划范围天然红树林生态系统的项目。</w:t>
            </w:r>
          </w:p>
          <w:p>
            <w:pPr>
              <w:pStyle w:val="31"/>
              <w:rPr>
                <w:kern w:val="0"/>
              </w:rPr>
            </w:pPr>
            <w:r>
              <w:rPr>
                <w:kern w:val="0"/>
              </w:rPr>
              <w:t>2、园区内红树林分布区域按照《广西壮族自治区红树林资源保护条例》进行管理，在红树林自然保护区、红树林保护小区外的其他红树林地，禁止挖塘、填海造地、围堤、开垦、烧荒、开矿、采石、挖沙、取土；排放有毒有害物质或者倾倒固体、液体废弃物。禁止移植、砍伐红树林。因科研、医药、更新抚育、工程建设等特殊原因确需移植、砍伐红树林自然保护区外的红树林的，应当经主管部门批准。工程建设项目应当避让红树林地。</w:t>
            </w:r>
          </w:p>
          <w:p>
            <w:pPr>
              <w:pStyle w:val="31"/>
              <w:rPr>
                <w:kern w:val="0"/>
              </w:rPr>
            </w:pPr>
            <w:r>
              <w:rPr>
                <w:kern w:val="0"/>
              </w:rPr>
              <w:t>3、紧临金窝水库饮用水源保护区的园区工业用地，应当布局非大气污染型项目。</w:t>
            </w:r>
          </w:p>
          <w:p>
            <w:pPr>
              <w:pStyle w:val="31"/>
              <w:rPr>
                <w:kern w:val="0"/>
              </w:rPr>
            </w:pPr>
            <w:r>
              <w:rPr>
                <w:kern w:val="0"/>
              </w:rPr>
              <w:t>4、居住用地周边严控布局潜在污染扰民和环境风险突出的建设项目。</w:t>
            </w:r>
          </w:p>
          <w:p>
            <w:pPr>
              <w:pStyle w:val="31"/>
            </w:pPr>
            <w:r>
              <w:rPr>
                <w:kern w:val="0"/>
              </w:rPr>
              <w:t>5、园区产业准入执行《广西壮族自治区人民政府办公厅关于印发北钦防一体化产业协同发展限制布局清单（工业类2021年版）的通知》（桂政办函〔2021〕4号）要求，限制新建纸浆制造、原油加工及石油制品制造、水泥制造、建筑陶瓷制品制造、有色金属冶炼等工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28" w:type="dxa"/>
            <w:shd w:val="clear" w:color="auto" w:fill="auto"/>
            <w:vAlign w:val="center"/>
          </w:tcPr>
          <w:p>
            <w:pPr>
              <w:pStyle w:val="31"/>
              <w:rPr>
                <w:kern w:val="0"/>
              </w:rPr>
            </w:pPr>
            <w:r>
              <w:rPr>
                <w:kern w:val="0"/>
              </w:rPr>
              <w:t>1、完善工业园区污水集中处理设施和配套管网。实行“清污分流、雨污分流”，实现废水分类收集、分质处理，入园企业应在达到国家或地方规定的排放标准后接入集中式污水处理设施处理，园区集中式污水处理设施总排口应安装自动监控系统、视频监控系统，并与环境保护主管部门联网。</w:t>
            </w:r>
          </w:p>
          <w:p>
            <w:pPr>
              <w:pStyle w:val="31"/>
              <w:rPr>
                <w:kern w:val="0"/>
              </w:rPr>
            </w:pPr>
            <w:r>
              <w:rPr>
                <w:kern w:val="0"/>
              </w:rPr>
              <w:t>2、推行清洁能源和集中供热。</w:t>
            </w:r>
          </w:p>
          <w:p>
            <w:pPr>
              <w:pStyle w:val="31"/>
              <w:rPr>
                <w:kern w:val="0"/>
              </w:rPr>
            </w:pPr>
            <w:r>
              <w:rPr>
                <w:kern w:val="0"/>
              </w:rPr>
              <w:t>3、有条件的工业聚集区建设集中喷涂工程中心，配备高效治污设施，替代企业独立喷涂工序。推动重点行业挥发性有机物（VOCs）污染防治，强化企业精细化管控、无组织废气排放控制以及高效治污设施建设，严格控制挥发性有机污染物排放。强化大气污染治理措施，降低二氧化硫、氮氧化物排放。</w:t>
            </w:r>
          </w:p>
          <w:p>
            <w:pPr>
              <w:pStyle w:val="31"/>
            </w:pPr>
            <w:r>
              <w:rPr>
                <w:kern w:val="0"/>
              </w:rPr>
              <w:t>4、强化固体废物减量化、资源化和无害化控制原则处置。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28" w:type="dxa"/>
            <w:shd w:val="clear" w:color="auto" w:fill="auto"/>
            <w:vAlign w:val="center"/>
          </w:tcPr>
          <w:p>
            <w:pPr>
              <w:pStyle w:val="31"/>
              <w:rPr>
                <w:kern w:val="0"/>
              </w:rPr>
            </w:pPr>
            <w:r>
              <w:rPr>
                <w:kern w:val="0"/>
              </w:rPr>
              <w:t>1、开展环境风险评估，制定突发环境事件应急预案并备案，配备应急能力和物资，建设环境应急队伍，并定期演练。企业、园区与地方人民政府环境应急预案应当有机衔接。</w:t>
            </w:r>
          </w:p>
          <w:p>
            <w:pPr>
              <w:pStyle w:val="31"/>
            </w:pPr>
            <w:r>
              <w:rPr>
                <w:kern w:val="0"/>
              </w:rPr>
              <w:t>2、建设项目应严格落实环境保护措施和环境风险防范措施，防范对金窝水库饮用水源保护区的环境风险。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28" w:type="dxa"/>
            <w:shd w:val="clear" w:color="auto" w:fill="auto"/>
            <w:vAlign w:val="center"/>
          </w:tcPr>
          <w:p>
            <w:pPr>
              <w:pStyle w:val="31"/>
              <w:rPr>
                <w:kern w:val="0"/>
              </w:rPr>
            </w:pPr>
            <w:r>
              <w:rPr>
                <w:kern w:val="0"/>
              </w:rPr>
              <w:t>1、依据《钦州市人民政府关于划定高污染燃料禁燃区的通告》，高污染燃料为：（一）除单台出力大于等于20蒸吨/小时锅炉以外的燃用煤炭及其制品；（二）石油焦、油页岩、原油、重油、渣油、煤焦油，以及各种可燃废物和直接燃用的生物质非成型燃料（树木、秸秆、锯末、稻壳、蔗渣等）。高污染燃料禁燃区内在集中供热管网或者燃气管网覆盖范围内的单台出力小于20蒸吨/小时的锅炉、窑炉等燃用高污染燃料设施，应当改用集中供热或者改用天然气、电等清洁能源；未在集中供热管网或者燃气管网覆盖范围内的，可以改用生物质成型燃料或者其他清洁能源，以淘汰燃用高污染燃料的锅炉、窑炉等燃烧设施。单台出力65蒸吨/小时以上燃煤机组按照国家相关污染物排放标准有序开展超低排放改造。禁燃区内禁止新建、扩建燃用高污染燃料的锅炉、窑炉等燃烧设施。</w:t>
            </w:r>
          </w:p>
          <w:p>
            <w:pPr>
              <w:pStyle w:val="31"/>
            </w:pPr>
            <w:r>
              <w:rPr>
                <w:kern w:val="0"/>
              </w:rPr>
              <w:t>2、严格用水总量，节约水资源，提高水循环利用率。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ZH45070220007</w:t>
            </w:r>
          </w:p>
        </w:tc>
        <w:tc>
          <w:tcPr>
            <w:tcW w:w="1917"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钦南区城镇空间重点管控单元</w:t>
            </w:r>
          </w:p>
        </w:tc>
        <w:tc>
          <w:tcPr>
            <w:tcW w:w="1591"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pStyle w:val="31"/>
              <w:spacing w:line="400" w:lineRule="exact"/>
              <w:rPr>
                <w:rFonts w:eastAsiaTheme="minorEastAsia"/>
              </w:rPr>
            </w:pPr>
            <w:r>
              <w:t>1、入园项目必须符合国家、自治区产业政策、供地政策及园区产业定位。</w:t>
            </w:r>
          </w:p>
          <w:p>
            <w:pPr>
              <w:adjustRightInd w:val="0"/>
              <w:snapToGrid w:val="0"/>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在城市建成区内，禁止新建、改建、扩建产生恶臭气体的项目，禁止贮存、加工、制造或者使用产生恶臭气体的物质；公共服务设施垃圾转运站项目可按《生活垃圾转运站技术规范》（CJJ/T47-2016）实施。</w:t>
            </w:r>
          </w:p>
          <w:p>
            <w:pPr>
              <w:adjustRightInd w:val="0"/>
              <w:snapToGrid w:val="0"/>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城市建成区内的钢铁、石油、化工、有色金属、水泥、平板玻璃、建筑陶瓷、砖瓦等行业中的高排放、高污染项目，应当逐步进行搬迁、改造或者转型、退出。</w:t>
            </w:r>
          </w:p>
          <w:p>
            <w:pPr>
              <w:adjustRightInd w:val="0"/>
              <w:snapToGrid w:val="0"/>
              <w:rPr>
                <w:rFonts w:ascii="Times New Roman" w:hAnsi="Times New Roman" w:cs="Times New Roman"/>
                <w:szCs w:val="21"/>
              </w:rPr>
            </w:pPr>
            <w:r>
              <w:rPr>
                <w:rFonts w:ascii="Times New Roman" w:hAnsi="Times New Roman" w:cs="Times New Roman"/>
                <w:szCs w:val="21"/>
              </w:rPr>
              <w:t>4、城市市区、镇和村庄居民区、文化教育科学研究区等人口集中区域</w:t>
            </w:r>
            <w:r>
              <w:rPr>
                <w:rFonts w:ascii="Times New Roman" w:hAnsi="Times New Roman" w:cs="Times New Roman"/>
                <w:b/>
                <w:szCs w:val="21"/>
              </w:rPr>
              <w:t>禁止</w:t>
            </w:r>
            <w:r>
              <w:rPr>
                <w:rFonts w:ascii="Times New Roman" w:hAnsi="Times New Roman" w:cs="Times New Roman"/>
                <w:szCs w:val="21"/>
              </w:rPr>
              <w:t>设置畜禽养殖场、养殖小区。</w:t>
            </w:r>
          </w:p>
          <w:p>
            <w:pPr>
              <w:adjustRightInd w:val="0"/>
              <w:snapToGrid w:val="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b/>
                <w:szCs w:val="21"/>
              </w:rPr>
              <w:t>禁止</w:t>
            </w:r>
            <w:r>
              <w:rPr>
                <w:rFonts w:ascii="Times New Roman" w:hAnsi="Times New Roman" w:cs="Times New Roman"/>
                <w:szCs w:val="21"/>
              </w:rPr>
              <w:t>在居民区和学校、医院、疗养院、养老院等单位周边新建、改建、扩建可能造成土壤污染的建设项目。</w:t>
            </w:r>
            <w:r>
              <w:rPr>
                <w:rFonts w:ascii="Times New Roman" w:hAnsi="Times New Roman" w:cs="Times New Roman"/>
                <w:b/>
                <w:szCs w:val="21"/>
              </w:rPr>
              <w:t>禁止</w:t>
            </w:r>
            <w:r>
              <w:rPr>
                <w:rFonts w:ascii="Times New Roman" w:hAnsi="Times New Roman" w:cs="Times New Roman"/>
                <w:szCs w:val="21"/>
              </w:rPr>
              <w:t>在人口聚居区域内新（改、扩）建涉重金属企业。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28" w:type="dxa"/>
            <w:shd w:val="clear" w:color="auto" w:fill="auto"/>
            <w:vAlign w:val="center"/>
          </w:tcPr>
          <w:p>
            <w:pPr>
              <w:pStyle w:val="31"/>
              <w:rPr>
                <w:rFonts w:eastAsiaTheme="minorEastAsia"/>
              </w:rPr>
            </w:pPr>
            <w:r>
              <w:rPr>
                <w:rFonts w:eastAsiaTheme="minorEastAsia"/>
              </w:rPr>
              <w:t>1、持续推进工业污染源全面达标排放，开展烟气高效脱硫脱硝、除尘改造。推进技术、工艺、设备等生态化、循环化改造，积极推广园区集中供热。强化堆场扬尘控制。推动重点行业VOCs的排放管控，加强VOCs排放企业源头控制。</w:t>
            </w:r>
          </w:p>
          <w:p>
            <w:pPr>
              <w:pStyle w:val="31"/>
              <w:numPr>
                <w:ilvl w:val="255"/>
                <w:numId w:val="0"/>
              </w:numPr>
              <w:rPr>
                <w:rFonts w:eastAsiaTheme="minorEastAsia"/>
              </w:rPr>
            </w:pPr>
            <w:r>
              <w:rPr>
                <w:rFonts w:eastAsiaTheme="minorEastAsia"/>
              </w:rPr>
              <w:t>2、加大燃煤小锅炉淘汰力度。依法依规加快淘汰老旧柴油货车。严格控制施工和道路扬尘污染。禁止露天焚烧产生有毒有害烟尘和恶臭气体的物质。鼓励建筑装修、汽修喷涂作业、干洗等行业，使用低毒、低挥发性溶剂。</w:t>
            </w:r>
          </w:p>
          <w:p>
            <w:pPr>
              <w:pStyle w:val="31"/>
              <w:numPr>
                <w:ilvl w:val="255"/>
                <w:numId w:val="0"/>
              </w:numPr>
              <w:rPr>
                <w:rFonts w:eastAsiaTheme="minorEastAsia"/>
              </w:rPr>
            </w:pPr>
            <w:r>
              <w:rPr>
                <w:rFonts w:eastAsiaTheme="minorEastAsia"/>
              </w:rPr>
              <w:t>3、规划产业园区建设应同步完善污水处理设施及管网建设；园区及园区企业主要污染物排放应控制在区域环境承载能力范围内，确保环境质量达标。</w:t>
            </w:r>
          </w:p>
          <w:p>
            <w:pPr>
              <w:pStyle w:val="31"/>
              <w:rPr>
                <w:rFonts w:eastAsiaTheme="minorEastAsia"/>
              </w:rPr>
            </w:pPr>
            <w:r>
              <w:rPr>
                <w:rFonts w:eastAsiaTheme="minorEastAsia"/>
              </w:rPr>
              <w:t>4、城市建成区基本消除生活污水直排口，有效杜绝污水直排水体。提高污水处理能力，完善既有污水处理厂和新建、扩建污水处理厂配套管网建设，基本实现城中村、老旧城区和城乡结合部生活污水收集处理。加强沿海城市生活污水处理设施及配套管网建设和改造，增强脱氮除磷功能。</w:t>
            </w:r>
          </w:p>
          <w:p>
            <w:pPr>
              <w:pStyle w:val="31"/>
              <w:rPr>
                <w:rFonts w:eastAsiaTheme="minorEastAsia"/>
              </w:rPr>
            </w:pPr>
            <w:r>
              <w:rPr>
                <w:rFonts w:eastAsiaTheme="minorEastAsia"/>
              </w:rPr>
              <w:t>5、矿产资源勘查以及采选过程中排土场、露天采场、尾矿库、矿区专用道路、矿山工业场地、沉陷区、矸石场、矿山污染场地等的生态环境保护与治理恢复工作须满足《矿山生态环境保护与恢复治理技术规范（试行）》（HJ651-2013）要求。落实边开采、边保护、边复垦的要求，使新建、在建矿山损毁土地得到全面复垦。</w:t>
            </w:r>
          </w:p>
          <w:p>
            <w:pPr>
              <w:pStyle w:val="2"/>
              <w:rPr>
                <w:rFonts w:hint="default" w:ascii="Times New Roman" w:hAnsi="Times New Roman"/>
                <w:color w:val="auto"/>
              </w:rPr>
            </w:pPr>
            <w:r>
              <w:rPr>
                <w:rFonts w:hint="default" w:ascii="Times New Roman" w:hAnsi="Times New Roman" w:eastAsiaTheme="minorEastAsia"/>
                <w:color w:val="auto"/>
                <w:kern w:val="2"/>
                <w:sz w:val="21"/>
                <w:szCs w:val="21"/>
              </w:rPr>
              <w:t>6、</w:t>
            </w:r>
            <w:r>
              <w:rPr>
                <w:rFonts w:ascii="Times New Roman" w:hAnsi="Times New Roman" w:eastAsiaTheme="minorEastAsia"/>
                <w:color w:val="auto"/>
                <w:kern w:val="2"/>
                <w:sz w:val="21"/>
                <w:szCs w:val="21"/>
              </w:rPr>
              <w:t>到</w:t>
            </w:r>
            <w:r>
              <w:rPr>
                <w:rFonts w:hint="default" w:ascii="Times New Roman" w:hAnsi="Times New Roman" w:eastAsiaTheme="minorEastAsia"/>
                <w:color w:val="auto"/>
                <w:kern w:val="2"/>
                <w:sz w:val="21"/>
                <w:szCs w:val="21"/>
              </w:rPr>
              <w:t>2025年，钦江东、高速公路西桥</w:t>
            </w:r>
            <w:r>
              <w:rPr>
                <w:rFonts w:ascii="Times New Roman" w:hAnsi="Times New Roman" w:eastAsiaTheme="minorEastAsia"/>
                <w:color w:val="auto"/>
                <w:kern w:val="2"/>
                <w:sz w:val="21"/>
                <w:szCs w:val="21"/>
              </w:rPr>
              <w:t>国考</w:t>
            </w:r>
            <w:r>
              <w:rPr>
                <w:rFonts w:hint="default" w:ascii="Times New Roman" w:hAnsi="Times New Roman" w:eastAsiaTheme="minorEastAsia"/>
                <w:color w:val="auto"/>
                <w:kern w:val="2"/>
                <w:sz w:val="21"/>
                <w:szCs w:val="21"/>
              </w:rPr>
              <w:t>断面水质分别</w:t>
            </w:r>
            <w:r>
              <w:rPr>
                <w:rFonts w:ascii="Times New Roman" w:hAnsi="Times New Roman" w:eastAsiaTheme="minorEastAsia"/>
                <w:color w:val="auto"/>
                <w:kern w:val="2"/>
                <w:sz w:val="21"/>
                <w:szCs w:val="21"/>
              </w:rPr>
              <w:t>拟</w:t>
            </w:r>
            <w:r>
              <w:rPr>
                <w:rFonts w:hint="default" w:ascii="Times New Roman" w:hAnsi="Times New Roman" w:eastAsiaTheme="minorEastAsia"/>
                <w:color w:val="auto"/>
                <w:kern w:val="2"/>
                <w:sz w:val="21"/>
                <w:szCs w:val="21"/>
              </w:rPr>
              <w:t>执行Ⅲ类、Ⅳ类标准</w:t>
            </w:r>
            <w:r>
              <w:rPr>
                <w:rFonts w:hint="default" w:ascii="Times New Roman" w:hAnsi="Times New Roman" w:eastAsiaTheme="minorEastAsia"/>
                <w:color w:val="auto"/>
                <w:sz w:val="21"/>
                <w:szCs w:val="21"/>
              </w:rPr>
              <w:t>，最终以国家下达的目标为准</w:t>
            </w:r>
            <w:r>
              <w:rPr>
                <w:rFonts w:hint="default" w:ascii="Times New Roman" w:hAnsi="Times New Roman" w:eastAsiaTheme="minorEastAsia"/>
                <w:color w:val="auto"/>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2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对暂不开发利用的污染地块，实施以防止污染扩散为目的的风险管控；对拟开发利用为居住用地和商业、学校、医疗、养老机构等公共设施用地的污染地块，实施以安全利用为目的的风险管控。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2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禁燃区内禁止销售、使用原煤等高污染燃料，现有燃用高污染燃料的设施应在规定期限内停止燃用高污染燃料，改用天然气、液化石油气、电或者其他清洁能源。其余按照《钦州市人民政府关于划定高污染燃料禁燃区的通告》要求实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ZH45070220008</w:t>
            </w:r>
          </w:p>
        </w:tc>
        <w:tc>
          <w:tcPr>
            <w:tcW w:w="1917"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钦南区布局敏感区重点管控单元</w:t>
            </w:r>
          </w:p>
        </w:tc>
        <w:tc>
          <w:tcPr>
            <w:tcW w:w="1591"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adjustRightInd w:val="0"/>
              <w:snapToGrid w:val="0"/>
              <w:rPr>
                <w:rFonts w:ascii="Times New Roman" w:hAnsi="Times New Roman" w:cs="Times New Roman"/>
                <w:szCs w:val="21"/>
              </w:rPr>
            </w:pPr>
            <w:r>
              <w:rPr>
                <w:rFonts w:hint="eastAsia" w:ascii="Times New Roman" w:hAnsi="Times New Roman" w:cs="Times New Roman"/>
                <w:szCs w:val="21"/>
              </w:rPr>
              <w:t>1、原则上避免大规模排放大气污染物的项目布局建设。</w:t>
            </w:r>
          </w:p>
          <w:p>
            <w:pPr>
              <w:adjustRightInd w:val="0"/>
              <w:snapToGrid w:val="0"/>
              <w:rPr>
                <w:rFonts w:ascii="Times New Roman" w:hAnsi="Times New Roman" w:cs="Times New Roman"/>
                <w:szCs w:val="21"/>
              </w:rPr>
            </w:pPr>
            <w:r>
              <w:rPr>
                <w:rFonts w:hint="eastAsia" w:ascii="Times New Roman" w:hAnsi="Times New Roman" w:cs="Times New Roman"/>
                <w:szCs w:val="21"/>
              </w:rPr>
              <w:t>2、引导以V0Cs排放为主的新建工业企业进入园区。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2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kern w:val="0"/>
                <w:szCs w:val="21"/>
              </w:rPr>
              <w:t>1、</w:t>
            </w:r>
            <w:r>
              <w:rPr>
                <w:rFonts w:ascii="Times New Roman" w:hAnsi="Times New Roman" w:cs="Times New Roman"/>
                <w:kern w:val="0"/>
              </w:rPr>
              <w:t>全面开展“散乱污”企业及集群综合整治行动。加大区域内大气污染治理力度，优化大气污染物排放项目布局，引导新建、扩建排放大气污染工业项目采用清洁生产工艺、先进的污染防治工艺。强化不利气象条件下秸秆焚烧控制，空气污染预警情况下严格执行秸秆禁烧管控。加强VOCs排放企业源头控制</w:t>
            </w:r>
            <w:r>
              <w:rPr>
                <w:rFonts w:ascii="Times New Roman" w:hAnsi="Times New Roman" w:cs="Times New Roman"/>
                <w:szCs w:val="21"/>
              </w:rPr>
              <w:t>。</w:t>
            </w:r>
          </w:p>
          <w:p>
            <w:pPr>
              <w:adjustRightInd w:val="0"/>
              <w:snapToGrid w:val="0"/>
              <w:rPr>
                <w:rFonts w:ascii="Times New Roman" w:hAnsi="Times New Roman" w:cs="Times New Roman"/>
                <w:szCs w:val="21"/>
              </w:rPr>
            </w:pPr>
            <w:r>
              <w:rPr>
                <w:rFonts w:ascii="Times New Roman" w:hAnsi="Times New Roman" w:cs="Times New Roman"/>
                <w:szCs w:val="21"/>
              </w:rPr>
              <w:t>2、矿产资源勘查以及采选过程中排土场、露天采场、尾矿库、矿区专用道路、矿山工业场地、沉陷区、矸石场、矿山污染场地等的生态环境保护与治理恢复工作须满足《矿山生态环境保护与恢复治理技术规范（试行）》（HJ651-2013）要求。落实边开采、边保护、边复垦的要求，使新建、在建矿山损毁土地得到全面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28" w:type="dxa"/>
            <w:shd w:val="clear" w:color="auto" w:fill="auto"/>
            <w:vAlign w:val="center"/>
          </w:tcPr>
          <w:p>
            <w:pPr>
              <w:adjustRightInd w:val="0"/>
              <w:snapToGrid w:val="0"/>
              <w:rPr>
                <w:rFonts w:ascii="Times New Roman" w:hAnsi="Times New Roman" w:cs="Times New Roman"/>
                <w:kern w:val="0"/>
                <w:szCs w:val="21"/>
              </w:rPr>
            </w:pPr>
            <w:r>
              <w:rPr>
                <w:rFonts w:ascii="Times New Roman" w:hAnsi="Times New Roman" w:cs="Times New Roman"/>
                <w:szCs w:val="21"/>
              </w:rPr>
              <w:t>禁燃区内禁止销售、使用原煤等高污染燃料，现有燃用高污染燃料的设施应在规定期限内停止燃用高污染燃料，改用天然气、液化石油气、电或者其他清洁能源。其余按照《钦州市人民政府关于划定高污染燃料禁燃区的通告》要求实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ZH45070220009</w:t>
            </w:r>
          </w:p>
        </w:tc>
        <w:tc>
          <w:tcPr>
            <w:tcW w:w="1917"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钦南区其他重点管控单元</w:t>
            </w:r>
          </w:p>
        </w:tc>
        <w:tc>
          <w:tcPr>
            <w:tcW w:w="1591"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pStyle w:val="31"/>
              <w:numPr>
                <w:ilvl w:val="255"/>
                <w:numId w:val="0"/>
              </w:numPr>
              <w:spacing w:line="400" w:lineRule="exact"/>
            </w:pPr>
            <w:r>
              <w:t>1、入园项目必须符合国家、自治区产业政策、供地政策及园区产业定位。</w:t>
            </w:r>
          </w:p>
          <w:p>
            <w:pPr>
              <w:adjustRightInd w:val="0"/>
              <w:snapToGrid w:val="0"/>
              <w:rPr>
                <w:rFonts w:ascii="Times New Roman" w:hAnsi="Times New Roman" w:cs="Times New Roman"/>
                <w:szCs w:val="21"/>
              </w:rPr>
            </w:pPr>
            <w:r>
              <w:rPr>
                <w:rFonts w:ascii="Times New Roman" w:hAnsi="Times New Roman" w:cs="Times New Roman"/>
                <w:szCs w:val="21"/>
              </w:rPr>
              <w:t>2、规划产业园区应当依法依规进行审批。新建企业原则上均应建在产业园区。</w:t>
            </w:r>
          </w:p>
          <w:p>
            <w:pPr>
              <w:adjustRightInd w:val="0"/>
              <w:snapToGrid w:val="0"/>
              <w:rPr>
                <w:rFonts w:ascii="Times New Roman" w:hAnsi="Times New Roman" w:cs="Times New Roman"/>
                <w:szCs w:val="21"/>
              </w:rPr>
            </w:pPr>
            <w:r>
              <w:rPr>
                <w:rFonts w:ascii="Times New Roman" w:hAnsi="Times New Roman" w:cs="Times New Roman"/>
                <w:szCs w:val="21"/>
              </w:rPr>
              <w:t>3、居住用地周边严控布局潜在污染扰民和环境风险突出的建设项目。</w:t>
            </w:r>
            <w:r>
              <w:rPr>
                <w:rFonts w:ascii="Times New Roman" w:hAnsi="Times New Roman" w:cs="Times New Roman"/>
                <w:b/>
                <w:szCs w:val="21"/>
              </w:rPr>
              <w:t>禁止</w:t>
            </w:r>
            <w:r>
              <w:rPr>
                <w:rFonts w:ascii="Times New Roman" w:hAnsi="Times New Roman" w:cs="Times New Roman"/>
                <w:szCs w:val="21"/>
              </w:rPr>
              <w:t>在居民区和学校、医院、疗养院、养老院等单位周边新建、改建、扩建可能造成土壤污染的建设项目。</w:t>
            </w:r>
            <w:r>
              <w:rPr>
                <w:rFonts w:ascii="Times New Roman" w:hAnsi="Times New Roman" w:cs="Times New Roman"/>
                <w:b/>
                <w:szCs w:val="21"/>
              </w:rPr>
              <w:t>禁止</w:t>
            </w:r>
            <w:r>
              <w:rPr>
                <w:rFonts w:ascii="Times New Roman" w:hAnsi="Times New Roman" w:cs="Times New Roman"/>
                <w:szCs w:val="21"/>
              </w:rPr>
              <w:t>在人口聚居区域内新（改、扩）建涉重金属企业。</w:t>
            </w:r>
          </w:p>
          <w:p>
            <w:pPr>
              <w:adjustRightInd w:val="0"/>
              <w:snapToGrid w:val="0"/>
              <w:rPr>
                <w:rFonts w:ascii="Times New Roman" w:hAnsi="Times New Roman" w:cs="Times New Roman"/>
                <w:szCs w:val="21"/>
              </w:rPr>
            </w:pPr>
            <w:r>
              <w:rPr>
                <w:rFonts w:ascii="Times New Roman" w:hAnsi="Times New Roman" w:cs="Times New Roman"/>
                <w:szCs w:val="21"/>
              </w:rPr>
              <w:t>4、临近生态保护红线的工业企业，应采取有效措施，避免产生不利影响。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28" w:type="dxa"/>
            <w:shd w:val="clear" w:color="auto" w:fill="auto"/>
            <w:vAlign w:val="center"/>
          </w:tcPr>
          <w:p>
            <w:pPr>
              <w:pStyle w:val="31"/>
              <w:rPr>
                <w:rFonts w:eastAsiaTheme="minorEastAsia"/>
              </w:rPr>
            </w:pPr>
            <w:r>
              <w:rPr>
                <w:rFonts w:eastAsiaTheme="minorEastAsia"/>
              </w:rPr>
              <w:t>1、</w:t>
            </w:r>
            <w:r>
              <w:t>工业企业应当落实大气污染防治要求，采取有效措施，强化企业大气污染物排放精细化管理、无组织废气排放控制以及高效治污设施建设。</w:t>
            </w:r>
            <w:r>
              <w:rPr>
                <w:rFonts w:eastAsiaTheme="minorEastAsia"/>
              </w:rPr>
              <w:t>持续推进工业污染源全面达标排放，开展烟气高效脱硫脱硝、除尘改造。推进技术、工艺、设备等生态化、循环化改造，积极推广园区集中供热。强化园区作业区堆场扬尘控制。推动重点行业VOCs的排放管控，加强VOCs排放企业源头控制。</w:t>
            </w:r>
          </w:p>
          <w:p>
            <w:pPr>
              <w:pStyle w:val="31"/>
              <w:rPr>
                <w:rFonts w:eastAsiaTheme="minorEastAsia"/>
              </w:rPr>
            </w:pPr>
            <w:r>
              <w:rPr>
                <w:rFonts w:eastAsiaTheme="minorEastAsia"/>
              </w:rPr>
              <w:t>2、规划产业园区建设应同步完善污水处理设施及管网建设；园区及园区企业主要污染物排放应控制在区域环境承载能力范围内，确保环境质量达标。</w:t>
            </w:r>
          </w:p>
          <w:p>
            <w:pPr>
              <w:pStyle w:val="31"/>
            </w:pPr>
            <w:r>
              <w:rPr>
                <w:rFonts w:eastAsiaTheme="minorEastAsia"/>
              </w:rPr>
              <w:t>3、</w:t>
            </w:r>
            <w:r>
              <w:t>完善港区污水集中处理设施和配套管网建设，实现污水集中处理、回用或达标排放</w:t>
            </w:r>
            <w:r>
              <w:rPr>
                <w:rFonts w:eastAsiaTheme="minorEastAsia"/>
              </w:rPr>
              <w:t>。</w:t>
            </w:r>
          </w:p>
          <w:p>
            <w:pPr>
              <w:adjustRightInd w:val="0"/>
              <w:snapToGrid w:val="0"/>
              <w:rPr>
                <w:rFonts w:ascii="Times New Roman" w:hAnsi="Times New Roman" w:cs="Times New Roman"/>
                <w:szCs w:val="21"/>
              </w:rPr>
            </w:pPr>
            <w:r>
              <w:rPr>
                <w:rFonts w:ascii="Times New Roman" w:hAnsi="Times New Roman" w:cs="Times New Roman"/>
                <w:szCs w:val="21"/>
              </w:rPr>
              <w:t>4、矿产资源勘查以及采选过程中排土场、露天采场、尾矿库、矿区专用道路、矿山工业场地、沉陷区、矸石场、矿山污染场地等的生态环境保护与治理恢复工作须满足《矿山生态环境保护与恢复治理技术规范（试行）》（HJ651-2013）要求。落实边开采、边保护、边复垦的要求，使新建、在建矿山损毁土地得到全面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28" w:type="dxa"/>
            <w:shd w:val="clear" w:color="auto" w:fill="auto"/>
            <w:vAlign w:val="center"/>
          </w:tcPr>
          <w:p>
            <w:pPr>
              <w:pStyle w:val="31"/>
              <w:rPr>
                <w:rFonts w:eastAsiaTheme="minorEastAsia"/>
              </w:rPr>
            </w:pPr>
            <w:r>
              <w:rPr>
                <w:rFonts w:eastAsiaTheme="minorEastAsia"/>
              </w:rPr>
              <w:t>1、开展环境风险评估，制定突发环境事件应急预案并备案，配备应急能力和物资，建设环境应急队伍，并定期演练。完善区域应急联动机制。</w:t>
            </w:r>
          </w:p>
          <w:p>
            <w:pPr>
              <w:pStyle w:val="31"/>
              <w:rPr>
                <w:rFonts w:eastAsiaTheme="minorEastAsia"/>
              </w:rPr>
            </w:pPr>
            <w:r>
              <w:rPr>
                <w:rFonts w:eastAsiaTheme="minorEastAsia"/>
              </w:rPr>
              <w:t>2、</w:t>
            </w:r>
            <w:r>
              <w:rPr>
                <w:rFonts w:hint="eastAsia" w:eastAsiaTheme="minorEastAsia"/>
              </w:rPr>
              <w:t>涉重金属重点行业企业</w:t>
            </w:r>
            <w:r>
              <w:rPr>
                <w:rFonts w:eastAsiaTheme="minorEastAsia"/>
              </w:rPr>
              <w:t>应当采用新技术、新工艺，加快提标升级改造，坚决淘汰不符合国家产业政策的落后生产工艺装备，执行重点重金属污染物排放总量控制制度，依法实施强制性清洁生产审核，减少重点重金属污染物排放。</w:t>
            </w:r>
          </w:p>
          <w:p>
            <w:pPr>
              <w:pStyle w:val="2"/>
              <w:rPr>
                <w:rFonts w:hint="default" w:ascii="Times New Roman" w:hAnsi="Times New Roman"/>
                <w:color w:val="auto"/>
                <w:szCs w:val="21"/>
              </w:rPr>
            </w:pPr>
            <w:r>
              <w:rPr>
                <w:rFonts w:hint="default" w:ascii="Times New Roman" w:hAnsi="Times New Roman" w:eastAsiaTheme="minorEastAsia"/>
                <w:color w:val="auto"/>
                <w:kern w:val="2"/>
                <w:sz w:val="21"/>
                <w:szCs w:val="21"/>
              </w:rPr>
              <w:t>3、土壤污染重点监管单位应当严格控制有毒有害物质排放，并按年度向所在地设区的市人民政府生态环境主管部门报告排放情况；建立土壤污染隐患排查制度，保证持续有效防止有毒有害物质渗漏、流失、扬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94" w:type="dxa"/>
            <w:vMerge w:val="continue"/>
            <w:shd w:val="clear" w:color="auto" w:fill="auto"/>
            <w:vAlign w:val="center"/>
          </w:tcPr>
          <w:p>
            <w:pPr>
              <w:adjustRightInd w:val="0"/>
              <w:snapToGrid w:val="0"/>
              <w:rPr>
                <w:rFonts w:ascii="Times New Roman" w:hAnsi="Times New Roman" w:cs="Times New Roman"/>
                <w:szCs w:val="21"/>
              </w:rPr>
            </w:pPr>
          </w:p>
        </w:tc>
        <w:tc>
          <w:tcPr>
            <w:tcW w:w="1917" w:type="dxa"/>
            <w:vMerge w:val="continue"/>
            <w:shd w:val="clear" w:color="auto" w:fill="auto"/>
            <w:vAlign w:val="center"/>
          </w:tcPr>
          <w:p>
            <w:pPr>
              <w:adjustRightInd w:val="0"/>
              <w:snapToGrid w:val="0"/>
              <w:rPr>
                <w:rFonts w:ascii="Times New Roman" w:hAnsi="Times New Roman" w:cs="Times New Roman"/>
                <w:szCs w:val="21"/>
              </w:rPr>
            </w:pPr>
          </w:p>
        </w:tc>
        <w:tc>
          <w:tcPr>
            <w:tcW w:w="1591" w:type="dxa"/>
            <w:vMerge w:val="continue"/>
            <w:shd w:val="clear" w:color="auto" w:fill="auto"/>
            <w:vAlign w:val="center"/>
          </w:tcPr>
          <w:p>
            <w:pPr>
              <w:adjustRightInd w:val="0"/>
              <w:snapToGrid w:val="0"/>
              <w:rPr>
                <w:rFonts w:ascii="Times New Roman" w:hAnsi="Times New Roman" w:cs="Times New Roman"/>
                <w:szCs w:val="21"/>
              </w:rPr>
            </w:pPr>
          </w:p>
        </w:tc>
        <w:tc>
          <w:tcPr>
            <w:tcW w:w="733" w:type="dxa"/>
            <w:shd w:val="clear" w:color="auto" w:fill="auto"/>
            <w:vAlign w:val="center"/>
          </w:tcPr>
          <w:p>
            <w:pPr>
              <w:pStyle w:val="31"/>
            </w:pPr>
            <w:r>
              <w:rPr>
                <w:rFonts w:eastAsiaTheme="minorEastAsia"/>
              </w:rPr>
              <w:t>资源开发利用效率要求</w:t>
            </w:r>
          </w:p>
        </w:tc>
        <w:tc>
          <w:tcPr>
            <w:tcW w:w="8928" w:type="dxa"/>
            <w:shd w:val="clear" w:color="auto" w:fill="auto"/>
            <w:vAlign w:val="center"/>
          </w:tcPr>
          <w:p>
            <w:pPr>
              <w:pStyle w:val="31"/>
              <w:rPr>
                <w:rFonts w:eastAsiaTheme="minorEastAsia"/>
              </w:rPr>
            </w:pPr>
            <w:r>
              <w:rPr>
                <w:rFonts w:eastAsiaTheme="minorEastAsia"/>
              </w:rPr>
              <w:t>1、废石、尾矿等固体废弃物处置率达到100%，矿山选矿废水重复利用率不低于85%。</w:t>
            </w:r>
          </w:p>
          <w:p>
            <w:pPr>
              <w:pStyle w:val="31"/>
            </w:pPr>
            <w:r>
              <w:rPr>
                <w:rFonts w:eastAsiaTheme="minorEastAsia"/>
              </w:rPr>
              <w:t>2、高岭土露天开采回采率≥85%、地下开采回采率75%，选矿回收率≥85%，尾矿综合利用率≥98%。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ZH45070230001</w:t>
            </w:r>
          </w:p>
        </w:tc>
        <w:tc>
          <w:tcPr>
            <w:tcW w:w="191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钦南区一般管控单元</w:t>
            </w:r>
          </w:p>
        </w:tc>
        <w:tc>
          <w:tcPr>
            <w:tcW w:w="159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一般管控单元</w:t>
            </w:r>
          </w:p>
        </w:tc>
        <w:tc>
          <w:tcPr>
            <w:tcW w:w="73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28"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永久基本农田一经划定，任何单位和个人不得擅自占用或改变用途。禁止任何单位和个人破坏永久基本农田耕作层。对永久基本农田实行严格保护，确保其面积不减少、土壤环境质量不下降，除法律规定的重点建设项目选址确实无法避让外，其他任何建设不得占用。</w:t>
            </w:r>
          </w:p>
          <w:p>
            <w:pPr>
              <w:adjustRightInd w:val="0"/>
              <w:snapToGrid w:val="0"/>
              <w:rPr>
                <w:rFonts w:ascii="Times New Roman" w:hAnsi="Times New Roman" w:cs="Times New Roman"/>
              </w:rPr>
            </w:pPr>
            <w:r>
              <w:rPr>
                <w:rFonts w:ascii="Times New Roman" w:hAnsi="Times New Roman" w:cs="Times New Roman"/>
              </w:rPr>
              <w:t>2、在永久基本农田集中区域，不得新建可能造成土壤污染的建设项目；已经建成的，应当限期关闭拆除。</w:t>
            </w:r>
          </w:p>
          <w:p>
            <w:pPr>
              <w:adjustRightInd w:val="0"/>
              <w:snapToGrid w:val="0"/>
              <w:rPr>
                <w:rFonts w:ascii="Times New Roman" w:hAnsi="Times New Roman" w:cs="Times New Roman"/>
              </w:rPr>
            </w:pPr>
            <w:r>
              <w:rPr>
                <w:rFonts w:ascii="Times New Roman" w:hAnsi="Times New Roman" w:cs="Times New Roman"/>
              </w:rPr>
              <w:t>3、禁止将重金属或者其他有毒有害物质含量超标的工业固体废物、生活垃圾或者污染土壤用于土地复垦。</w:t>
            </w:r>
          </w:p>
          <w:p>
            <w:pPr>
              <w:pStyle w:val="2"/>
              <w:rPr>
                <w:rFonts w:hint="default" w:ascii="Times New Roman" w:hAnsi="Times New Roman" w:eastAsiaTheme="minorEastAsia"/>
                <w:color w:val="auto"/>
              </w:rPr>
            </w:pPr>
            <w:r>
              <w:rPr>
                <w:rFonts w:hint="default" w:ascii="Times New Roman" w:hAnsi="Times New Roman" w:eastAsia="宋体"/>
                <w:color w:val="auto"/>
                <w:szCs w:val="24"/>
              </w:rPr>
              <w:t>4</w:t>
            </w:r>
            <w:r>
              <w:rPr>
                <w:rFonts w:hint="default" w:ascii="Times New Roman" w:hAnsi="Times New Roman" w:eastAsiaTheme="minorEastAsia"/>
                <w:color w:val="auto"/>
                <w:kern w:val="2"/>
                <w:sz w:val="21"/>
                <w:szCs w:val="24"/>
              </w:rPr>
              <w:t>、</w:t>
            </w:r>
            <w:r>
              <w:rPr>
                <w:rFonts w:ascii="Times New Roman" w:hAnsi="Times New Roman" w:eastAsiaTheme="minorEastAsia"/>
                <w:color w:val="auto"/>
                <w:kern w:val="2"/>
                <w:sz w:val="21"/>
                <w:szCs w:val="24"/>
              </w:rPr>
              <w:t>到</w:t>
            </w:r>
            <w:r>
              <w:rPr>
                <w:rFonts w:hint="default" w:ascii="Times New Roman" w:hAnsi="Times New Roman" w:eastAsiaTheme="minorEastAsia"/>
                <w:color w:val="auto"/>
                <w:kern w:val="2"/>
                <w:sz w:val="21"/>
                <w:szCs w:val="24"/>
              </w:rPr>
              <w:t>2025年，茅岭大桥</w:t>
            </w:r>
            <w:r>
              <w:rPr>
                <w:rFonts w:ascii="Times New Roman" w:hAnsi="Times New Roman" w:eastAsiaTheme="minorEastAsia"/>
                <w:color w:val="auto"/>
                <w:kern w:val="2"/>
                <w:sz w:val="21"/>
                <w:szCs w:val="24"/>
              </w:rPr>
              <w:t>国考</w:t>
            </w:r>
            <w:r>
              <w:rPr>
                <w:rFonts w:hint="default" w:ascii="Times New Roman" w:hAnsi="Times New Roman" w:eastAsiaTheme="minorEastAsia"/>
                <w:color w:val="auto"/>
                <w:kern w:val="2"/>
                <w:sz w:val="21"/>
                <w:szCs w:val="24"/>
              </w:rPr>
              <w:t>断面水质</w:t>
            </w:r>
            <w:r>
              <w:rPr>
                <w:rFonts w:ascii="Times New Roman" w:hAnsi="Times New Roman" w:eastAsiaTheme="minorEastAsia"/>
                <w:color w:val="auto"/>
                <w:kern w:val="2"/>
                <w:sz w:val="21"/>
                <w:szCs w:val="24"/>
              </w:rPr>
              <w:t>拟</w:t>
            </w:r>
            <w:r>
              <w:rPr>
                <w:rFonts w:hint="default" w:ascii="Times New Roman" w:hAnsi="Times New Roman" w:eastAsiaTheme="minorEastAsia"/>
                <w:color w:val="auto"/>
                <w:kern w:val="2"/>
                <w:sz w:val="21"/>
                <w:szCs w:val="24"/>
              </w:rPr>
              <w:t>执行Ⅲ类标准</w:t>
            </w:r>
            <w:r>
              <w:rPr>
                <w:rFonts w:hint="default" w:ascii="Times New Roman" w:hAnsi="Times New Roman" w:eastAsiaTheme="minorEastAsia"/>
                <w:color w:val="auto"/>
                <w:sz w:val="21"/>
                <w:szCs w:val="21"/>
              </w:rPr>
              <w:t>，最终以国家下达的目标为准</w:t>
            </w:r>
            <w:r>
              <w:rPr>
                <w:rFonts w:hint="default" w:ascii="Times New Roman" w:hAnsi="Times New Roman" w:eastAsiaTheme="minorEastAsia"/>
                <w:color w:val="auto"/>
                <w:kern w:val="2"/>
                <w:sz w:val="21"/>
                <w:szCs w:val="24"/>
              </w:rPr>
              <w:t>。</w:t>
            </w:r>
          </w:p>
        </w:tc>
      </w:tr>
    </w:tbl>
    <w:p>
      <w:pPr>
        <w:widowControl/>
        <w:jc w:val="left"/>
        <w:rPr>
          <w:rFonts w:ascii="Times New Roman" w:hAnsi="Times New Roman" w:cs="Times New Roman"/>
        </w:rPr>
      </w:pPr>
      <w:r>
        <w:rPr>
          <w:rFonts w:ascii="Times New Roman" w:hAnsi="Times New Roman" w:cs="Times New Roman"/>
        </w:rPr>
        <w:br w:type="page"/>
      </w:r>
    </w:p>
    <w:p>
      <w:pPr>
        <w:pStyle w:val="3"/>
        <w:spacing w:before="156" w:after="156"/>
      </w:pPr>
      <w:bookmarkStart w:id="22" w:name="_Toc22411"/>
      <w:r>
        <w:rPr>
          <w:rFonts w:hint="eastAsia"/>
        </w:rPr>
        <w:t>2</w:t>
      </w:r>
      <w:r>
        <w:tab/>
      </w:r>
      <w:r>
        <w:t>钦</w:t>
      </w:r>
      <w:r>
        <w:rPr>
          <w:rFonts w:hint="eastAsia"/>
        </w:rPr>
        <w:t>北</w:t>
      </w:r>
      <w:r>
        <w:t>区</w:t>
      </w:r>
      <w:bookmarkEnd w:id="22"/>
    </w:p>
    <w:p>
      <w:pPr>
        <w:adjustRightInd w:val="0"/>
        <w:snapToGrid w:val="0"/>
        <w:spacing w:line="300" w:lineRule="auto"/>
        <w:jc w:val="center"/>
        <w:outlineLvl w:val="3"/>
        <w:rPr>
          <w:rFonts w:ascii="Times New Roman" w:hAnsi="Times New Roman" w:eastAsia="黑体" w:cs="Times New Roman"/>
          <w:sz w:val="24"/>
          <w:szCs w:val="21"/>
        </w:rPr>
      </w:pPr>
      <w:bookmarkStart w:id="23" w:name="_Toc13902"/>
      <w:r>
        <w:rPr>
          <w:rFonts w:ascii="Times New Roman" w:hAnsi="Times New Roman" w:eastAsia="黑体" w:cs="Times New Roman"/>
          <w:sz w:val="28"/>
          <w:szCs w:val="28"/>
        </w:rPr>
        <w:t>表2  钦州市钦北区</w:t>
      </w:r>
      <w:r>
        <w:rPr>
          <w:rFonts w:hint="eastAsia" w:ascii="Times New Roman" w:hAnsi="Times New Roman" w:eastAsia="黑体" w:cs="Times New Roman"/>
          <w:sz w:val="28"/>
          <w:szCs w:val="28"/>
        </w:rPr>
        <w:t>环境管控单元</w:t>
      </w:r>
      <w:r>
        <w:rPr>
          <w:rFonts w:ascii="Times New Roman" w:hAnsi="Times New Roman" w:eastAsia="黑体" w:cs="Times New Roman"/>
          <w:sz w:val="28"/>
          <w:szCs w:val="28"/>
        </w:rPr>
        <w:t>生态环境准入清单</w:t>
      </w:r>
      <w:bookmarkEnd w:id="23"/>
    </w:p>
    <w:tbl>
      <w:tblPr>
        <w:tblStyle w:val="18"/>
        <w:tblW w:w="15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1916"/>
        <w:gridCol w:w="1617"/>
        <w:gridCol w:w="763"/>
        <w:gridCol w:w="8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2028" w:type="dxa"/>
            <w:shd w:val="clear" w:color="auto" w:fill="auto"/>
            <w:vAlign w:val="center"/>
          </w:tcPr>
          <w:p>
            <w:pPr>
              <w:adjustRightInd w:val="0"/>
              <w:snapToGrid w:val="0"/>
              <w:jc w:val="center"/>
              <w:rPr>
                <w:rFonts w:ascii="Times New Roman" w:hAnsi="Times New Roman" w:cs="Times New Roman"/>
                <w:b/>
                <w:szCs w:val="20"/>
              </w:rPr>
            </w:pPr>
            <w:r>
              <w:rPr>
                <w:rFonts w:ascii="Times New Roman" w:hAnsi="Times New Roman" w:cs="Times New Roman"/>
                <w:b/>
                <w:szCs w:val="20"/>
              </w:rPr>
              <w:t>环境管控单元编码</w:t>
            </w:r>
          </w:p>
        </w:tc>
        <w:tc>
          <w:tcPr>
            <w:tcW w:w="1916" w:type="dxa"/>
            <w:shd w:val="clear" w:color="auto" w:fill="auto"/>
            <w:vAlign w:val="center"/>
          </w:tcPr>
          <w:p>
            <w:pPr>
              <w:adjustRightInd w:val="0"/>
              <w:snapToGrid w:val="0"/>
              <w:jc w:val="center"/>
              <w:rPr>
                <w:rFonts w:ascii="Times New Roman" w:hAnsi="Times New Roman" w:cs="Times New Roman"/>
                <w:b/>
                <w:szCs w:val="20"/>
              </w:rPr>
            </w:pPr>
            <w:r>
              <w:rPr>
                <w:rFonts w:ascii="Times New Roman" w:hAnsi="Times New Roman" w:cs="Times New Roman"/>
                <w:b/>
                <w:szCs w:val="20"/>
              </w:rPr>
              <w:t>环境管控单元名称</w:t>
            </w:r>
          </w:p>
        </w:tc>
        <w:tc>
          <w:tcPr>
            <w:tcW w:w="1617" w:type="dxa"/>
            <w:shd w:val="clear" w:color="auto" w:fill="auto"/>
            <w:vAlign w:val="center"/>
          </w:tcPr>
          <w:p>
            <w:pPr>
              <w:adjustRightInd w:val="0"/>
              <w:snapToGrid w:val="0"/>
              <w:jc w:val="center"/>
              <w:rPr>
                <w:rFonts w:ascii="Times New Roman" w:hAnsi="Times New Roman" w:cs="Times New Roman"/>
                <w:b/>
                <w:szCs w:val="20"/>
              </w:rPr>
            </w:pPr>
            <w:r>
              <w:rPr>
                <w:rFonts w:ascii="Times New Roman" w:hAnsi="Times New Roman" w:cs="Times New Roman"/>
                <w:b/>
                <w:szCs w:val="20"/>
              </w:rPr>
              <w:t>管控单元类别</w:t>
            </w:r>
          </w:p>
        </w:tc>
        <w:tc>
          <w:tcPr>
            <w:tcW w:w="9650" w:type="dxa"/>
            <w:gridSpan w:val="2"/>
            <w:shd w:val="clear" w:color="auto" w:fill="auto"/>
            <w:vAlign w:val="center"/>
          </w:tcPr>
          <w:p>
            <w:pPr>
              <w:adjustRightInd w:val="0"/>
              <w:snapToGrid w:val="0"/>
              <w:jc w:val="center"/>
              <w:rPr>
                <w:rFonts w:ascii="Times New Roman" w:hAnsi="Times New Roman" w:cs="Times New Roman"/>
                <w:b/>
                <w:szCs w:val="20"/>
              </w:rPr>
            </w:pPr>
            <w:r>
              <w:rPr>
                <w:rFonts w:ascii="Times New Roman" w:hAnsi="Times New Roman" w:cs="Times New Roman"/>
                <w:b/>
                <w:szCs w:val="20"/>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8" w:hRule="atLeast"/>
        </w:trPr>
        <w:tc>
          <w:tcPr>
            <w:tcW w:w="202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ZH45070310001</w:t>
            </w:r>
          </w:p>
        </w:tc>
        <w:tc>
          <w:tcPr>
            <w:tcW w:w="1916"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北部湾水源涵养生态保护红线</w:t>
            </w:r>
          </w:p>
        </w:tc>
        <w:tc>
          <w:tcPr>
            <w:tcW w:w="1617" w:type="dxa"/>
            <w:shd w:val="clear" w:color="auto" w:fill="auto"/>
            <w:vAlign w:val="center"/>
          </w:tcPr>
          <w:p>
            <w:pPr>
              <w:widowControl/>
              <w:adjustRightInd w:val="0"/>
              <w:snapToGrid w:val="0"/>
              <w:rPr>
                <w:rFonts w:ascii="Times New Roman" w:hAnsi="Times New Roman" w:cs="Times New Roman"/>
                <w:kern w:val="0"/>
                <w:szCs w:val="21"/>
              </w:rPr>
            </w:pPr>
            <w:r>
              <w:rPr>
                <w:rFonts w:ascii="Times New Roman" w:hAnsi="Times New Roman" w:cs="Times New Roman"/>
                <w:szCs w:val="21"/>
              </w:rPr>
              <w:t>优先保护单元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严格落实国家、自治区对生态保护红线及自然保护地的管控要求。</w:t>
            </w:r>
            <w:r>
              <w:rPr>
                <w:rFonts w:ascii="Times New Roman" w:hAnsi="Times New Roman" w:cs="Times New Roman"/>
                <w:szCs w:val="21"/>
              </w:rPr>
              <w:t>严禁不符合主体功能定位的各类开发活动，严禁任意改变用途，严格禁止任何单位和个人擅自占用和改变用地性质。</w:t>
            </w:r>
          </w:p>
          <w:p>
            <w:pPr>
              <w:snapToGrid w:val="0"/>
              <w:rPr>
                <w:rFonts w:ascii="Times New Roman" w:hAnsi="Times New Roman" w:cs="Times New Roman"/>
                <w:szCs w:val="21"/>
              </w:rPr>
            </w:pPr>
            <w:r>
              <w:rPr>
                <w:rFonts w:ascii="Times New Roman" w:hAnsi="Times New Roman" w:cs="Times New Roman"/>
                <w:szCs w:val="21"/>
              </w:rPr>
              <w:t>2、在符合现行法律法规前提下，除国家重大战略项目外，仅允许对生态功能不造成破坏的有限人为活动。</w:t>
            </w:r>
          </w:p>
          <w:p>
            <w:pPr>
              <w:snapToGrid w:val="0"/>
              <w:rPr>
                <w:rFonts w:ascii="Times New Roman" w:hAnsi="Times New Roman" w:cs="Times New Roman"/>
                <w:szCs w:val="21"/>
              </w:rPr>
            </w:pPr>
            <w:r>
              <w:rPr>
                <w:rFonts w:ascii="Times New Roman" w:hAnsi="Times New Roman" w:cs="Times New Roman"/>
                <w:szCs w:val="21"/>
              </w:rPr>
              <w:t>3、有限人为活动按照《中共中央办公厅 国务院办公厅印发＜关于在国土空间规划中统筹划定落实三条控制线的指导意见＞》和省级环境管控及准入要求清单进行。</w:t>
            </w:r>
          </w:p>
          <w:p>
            <w:pPr>
              <w:snapToGrid w:val="0"/>
              <w:rPr>
                <w:rFonts w:ascii="Times New Roman" w:hAnsi="Times New Roman" w:cs="Times New Roman"/>
                <w:szCs w:val="21"/>
              </w:rPr>
            </w:pPr>
            <w:r>
              <w:rPr>
                <w:rFonts w:ascii="Times New Roman" w:hAnsi="Times New Roman" w:cs="Times New Roman"/>
                <w:szCs w:val="21"/>
              </w:rPr>
              <w:t>4、饮用水水源保护区以及生态公益林、天然林还需执行国家、自治区以及市县相应法律法规要求。</w:t>
            </w:r>
          </w:p>
          <w:p>
            <w:pPr>
              <w:snapToGrid w:val="0"/>
              <w:rPr>
                <w:rFonts w:ascii="Times New Roman" w:hAnsi="Times New Roman" w:cs="Times New Roman"/>
              </w:rPr>
            </w:pPr>
            <w:r>
              <w:rPr>
                <w:rFonts w:ascii="Times New Roman" w:hAnsi="Times New Roman" w:cs="Times New Roman"/>
                <w:szCs w:val="21"/>
              </w:rPr>
              <w:t>5、《生态保护红线管理办法》出台后，按其规定执行。.。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2028"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ZH45070310002</w:t>
            </w:r>
          </w:p>
        </w:tc>
        <w:tc>
          <w:tcPr>
            <w:tcW w:w="1916"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广西钦州林湖自治区级森林公园生态保护红线</w:t>
            </w:r>
          </w:p>
        </w:tc>
        <w:tc>
          <w:tcPr>
            <w:tcW w:w="1617" w:type="dxa"/>
            <w:shd w:val="clear" w:color="auto" w:fill="auto"/>
            <w:vAlign w:val="center"/>
          </w:tcPr>
          <w:p>
            <w:pPr>
              <w:adjustRightInd w:val="0"/>
              <w:snapToGrid w:val="0"/>
              <w:rPr>
                <w:rFonts w:ascii="Times New Roman" w:hAnsi="Times New Roman" w:eastAsia="宋体" w:cs="Times New Roman"/>
                <w:szCs w:val="21"/>
              </w:rPr>
            </w:pPr>
            <w:r>
              <w:rPr>
                <w:rFonts w:ascii="Times New Roman" w:hAnsi="Times New Roman" w:cs="Times New Roman"/>
                <w:szCs w:val="21"/>
              </w:rPr>
              <w:t>优先保护单元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严格落实国家、自治区对生态保护红线及自然保护地的管控要求。</w:t>
            </w:r>
            <w:r>
              <w:rPr>
                <w:rFonts w:ascii="Times New Roman" w:hAnsi="Times New Roman" w:cs="Times New Roman"/>
                <w:szCs w:val="21"/>
              </w:rPr>
              <w:t>严禁不符合主体功能定位的各类开发活动，严禁任意改变用途，严格禁止任何单位和个人擅自占用和改变用地性质。</w:t>
            </w:r>
          </w:p>
          <w:p>
            <w:pPr>
              <w:snapToGrid w:val="0"/>
              <w:rPr>
                <w:rFonts w:ascii="Times New Roman" w:hAnsi="Times New Roman" w:cs="Times New Roman"/>
                <w:szCs w:val="21"/>
              </w:rPr>
            </w:pPr>
            <w:r>
              <w:rPr>
                <w:rFonts w:ascii="Times New Roman" w:hAnsi="Times New Roman" w:cs="Times New Roman"/>
                <w:szCs w:val="21"/>
              </w:rPr>
              <w:t>2、核心保护区内，除满足国家特殊战略需要的有关活动外，原则上禁止人为活动；一般控制区内，除满足国家特殊战略需要的有关活动外，原则上禁止开发性、生产性建设活动，仅允许对生态功能不造成破坏的有限人为活动。</w:t>
            </w:r>
          </w:p>
          <w:p>
            <w:pPr>
              <w:snapToGrid w:val="0"/>
              <w:rPr>
                <w:rFonts w:ascii="Times New Roman" w:hAnsi="Times New Roman" w:cs="Times New Roman"/>
                <w:szCs w:val="21"/>
              </w:rPr>
            </w:pPr>
            <w:r>
              <w:rPr>
                <w:rFonts w:ascii="Times New Roman" w:hAnsi="Times New Roman" w:cs="Times New Roman"/>
                <w:szCs w:val="21"/>
              </w:rPr>
              <w:t>3、有限人为活动按照《中共中央办公厅 国务院办公厅印发＜关于在国土空间规划中统筹划定落实三条控制线的指导意见＞》和省级环境管控及准入要求清单进行。</w:t>
            </w:r>
          </w:p>
          <w:p>
            <w:pPr>
              <w:snapToGrid w:val="0"/>
              <w:rPr>
                <w:rFonts w:ascii="Times New Roman" w:hAnsi="Times New Roman" w:cs="Times New Roman"/>
                <w:szCs w:val="21"/>
              </w:rPr>
            </w:pPr>
            <w:r>
              <w:rPr>
                <w:rFonts w:ascii="Times New Roman" w:hAnsi="Times New Roman" w:cs="Times New Roman"/>
                <w:szCs w:val="21"/>
              </w:rPr>
              <w:t>4、森林公园执行《森林公园管理办法》相关要求，饮用水水源保护区以及生态公益林、天然林还需执行国家、自治区以及市县相应法律法规要求。</w:t>
            </w:r>
          </w:p>
          <w:p>
            <w:pPr>
              <w:snapToGrid w:val="0"/>
              <w:rPr>
                <w:rFonts w:ascii="Times New Roman" w:hAnsi="Times New Roman" w:cs="Times New Roman"/>
                <w:sz w:val="24"/>
              </w:rPr>
            </w:pPr>
            <w:r>
              <w:rPr>
                <w:rFonts w:ascii="Times New Roman" w:hAnsi="Times New Roman" w:cs="Times New Roman"/>
                <w:szCs w:val="21"/>
              </w:rPr>
              <w:t>5、《生态保护红线管理办法》出台后，按其规定执行。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2028"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ZH45070310003</w:t>
            </w:r>
          </w:p>
        </w:tc>
        <w:tc>
          <w:tcPr>
            <w:tcW w:w="1916"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广西钦州王岗山自治区级自然保护区生态保护红线</w:t>
            </w:r>
          </w:p>
        </w:tc>
        <w:tc>
          <w:tcPr>
            <w:tcW w:w="161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严格落实国家、自治区对生态保护红线及自然保护地的管控要求。</w:t>
            </w:r>
            <w:r>
              <w:rPr>
                <w:rFonts w:ascii="Times New Roman" w:hAnsi="Times New Roman" w:cs="Times New Roman"/>
                <w:szCs w:val="21"/>
              </w:rPr>
              <w:t>严禁不符合主体功能定位的各类开发活动，严禁任意改变用途，严格禁止任何单位和个人擅自占用和改变用地性质。</w:t>
            </w:r>
          </w:p>
          <w:p>
            <w:pPr>
              <w:snapToGrid w:val="0"/>
              <w:rPr>
                <w:rFonts w:ascii="Times New Roman" w:hAnsi="Times New Roman" w:cs="Times New Roman"/>
                <w:szCs w:val="21"/>
              </w:rPr>
            </w:pPr>
            <w:r>
              <w:rPr>
                <w:rFonts w:ascii="Times New Roman" w:hAnsi="Times New Roman" w:cs="Times New Roman"/>
                <w:szCs w:val="21"/>
              </w:rPr>
              <w:t>2、核心保护区内，除满足国家特殊战略需要的有关活动外，原则上禁止人为活动；一般控制区内，除满足国家特殊战略需要的有关活动外，原则上禁止开发性、生产性建设活动，仅允许对生态功能不造成破坏的有限人为活动。</w:t>
            </w:r>
          </w:p>
          <w:p>
            <w:pPr>
              <w:snapToGrid w:val="0"/>
              <w:rPr>
                <w:rFonts w:ascii="Times New Roman" w:hAnsi="Times New Roman" w:cs="Times New Roman"/>
                <w:szCs w:val="21"/>
              </w:rPr>
            </w:pPr>
            <w:r>
              <w:rPr>
                <w:rFonts w:ascii="Times New Roman" w:hAnsi="Times New Roman" w:cs="Times New Roman"/>
                <w:szCs w:val="21"/>
              </w:rPr>
              <w:t>3、有限人为活动按照《中共中央办公厅 国务院办公厅印发＜关于在国土空间规划中统筹划定落实三条控制线的指导意见＞》和省级环境管控及准入要求清单进行。</w:t>
            </w:r>
          </w:p>
          <w:p>
            <w:pPr>
              <w:snapToGrid w:val="0"/>
              <w:rPr>
                <w:rFonts w:ascii="Times New Roman" w:hAnsi="Times New Roman" w:cs="Times New Roman"/>
                <w:szCs w:val="21"/>
              </w:rPr>
            </w:pPr>
            <w:r>
              <w:rPr>
                <w:rFonts w:ascii="Times New Roman" w:hAnsi="Times New Roman" w:cs="Times New Roman"/>
                <w:szCs w:val="21"/>
              </w:rPr>
              <w:t>4、自然保护区以及生态公益林、天然林还需执行国家、自治区以及市县相应法律法规要求。</w:t>
            </w:r>
          </w:p>
          <w:p>
            <w:pPr>
              <w:adjustRightInd w:val="0"/>
              <w:snapToGrid w:val="0"/>
              <w:rPr>
                <w:rFonts w:ascii="Times New Roman" w:hAnsi="Times New Roman" w:cs="Times New Roman"/>
                <w:szCs w:val="21"/>
              </w:rPr>
            </w:pPr>
            <w:r>
              <w:rPr>
                <w:rFonts w:ascii="Times New Roman" w:hAnsi="Times New Roman" w:cs="Times New Roman"/>
                <w:szCs w:val="21"/>
              </w:rPr>
              <w:t>5、《生态保护红线管理办法》出台后，按其规定执行。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2028"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ZH45070310004</w:t>
            </w:r>
          </w:p>
        </w:tc>
        <w:tc>
          <w:tcPr>
            <w:tcW w:w="1916"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十万大山水源涵养与生物多样性维护生态保护红线</w:t>
            </w:r>
          </w:p>
        </w:tc>
        <w:tc>
          <w:tcPr>
            <w:tcW w:w="1617" w:type="dxa"/>
            <w:shd w:val="clear" w:color="auto" w:fill="auto"/>
            <w:vAlign w:val="center"/>
          </w:tcPr>
          <w:p>
            <w:pPr>
              <w:widowControl/>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严格落实国家、自治区对生态保护红线及自然保护地的管控要求。</w:t>
            </w:r>
            <w:r>
              <w:rPr>
                <w:rFonts w:ascii="Times New Roman" w:hAnsi="Times New Roman" w:cs="Times New Roman"/>
                <w:szCs w:val="21"/>
              </w:rPr>
              <w:t>严禁不符合主体功能定位的各类开发活动，严禁任意改变用途，严格禁止任何单位和个人擅自占用和改变用地性质。</w:t>
            </w:r>
          </w:p>
          <w:p>
            <w:pPr>
              <w:snapToGrid w:val="0"/>
              <w:rPr>
                <w:rFonts w:ascii="Times New Roman" w:hAnsi="Times New Roman" w:cs="Times New Roman"/>
                <w:szCs w:val="21"/>
              </w:rPr>
            </w:pPr>
            <w:r>
              <w:rPr>
                <w:rFonts w:ascii="Times New Roman" w:hAnsi="Times New Roman" w:cs="Times New Roman"/>
                <w:szCs w:val="21"/>
              </w:rPr>
              <w:t>2、在符合现行法律法规前提下，除国家重大战略项目外，仅允许对生态功能不造成破坏的有限人为活动。</w:t>
            </w:r>
          </w:p>
          <w:p>
            <w:pPr>
              <w:snapToGrid w:val="0"/>
              <w:rPr>
                <w:rFonts w:ascii="Times New Roman" w:hAnsi="Times New Roman" w:cs="Times New Roman"/>
                <w:szCs w:val="21"/>
              </w:rPr>
            </w:pPr>
            <w:r>
              <w:rPr>
                <w:rFonts w:ascii="Times New Roman" w:hAnsi="Times New Roman" w:cs="Times New Roman"/>
                <w:szCs w:val="21"/>
              </w:rPr>
              <w:t>3、有限人为活动按照《中共中央办公厅 国务院办公厅印发＜关于在国土空间规划中统筹划定落实三条控制线的指导意见＞》和省级环境管控及准入要求清单进行。</w:t>
            </w:r>
          </w:p>
          <w:p>
            <w:pPr>
              <w:snapToGrid w:val="0"/>
              <w:rPr>
                <w:rFonts w:ascii="Times New Roman" w:hAnsi="Times New Roman" w:cs="Times New Roman"/>
                <w:szCs w:val="21"/>
              </w:rPr>
            </w:pPr>
            <w:r>
              <w:rPr>
                <w:rFonts w:ascii="Times New Roman" w:hAnsi="Times New Roman" w:cs="Times New Roman"/>
                <w:szCs w:val="21"/>
              </w:rPr>
              <w:t>4、生态公益林、天然林还需执行国家、自治区以及市县相应法律法规要求。</w:t>
            </w:r>
          </w:p>
          <w:p>
            <w:pPr>
              <w:adjustRightInd w:val="0"/>
              <w:snapToGrid w:val="0"/>
              <w:rPr>
                <w:rFonts w:ascii="Times New Roman" w:hAnsi="Times New Roman" w:cs="Times New Roman"/>
                <w:szCs w:val="21"/>
              </w:rPr>
            </w:pPr>
            <w:r>
              <w:rPr>
                <w:rFonts w:ascii="Times New Roman" w:hAnsi="Times New Roman" w:cs="Times New Roman"/>
                <w:szCs w:val="21"/>
              </w:rPr>
              <w:t>5、《生态保护红线管理办法》出台后，按其规定执行。.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2028"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ZH45070310005</w:t>
            </w:r>
          </w:p>
        </w:tc>
        <w:tc>
          <w:tcPr>
            <w:tcW w:w="1916"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左江干流流域-高峰岭水源涵养生态保护红线</w:t>
            </w:r>
          </w:p>
        </w:tc>
        <w:tc>
          <w:tcPr>
            <w:tcW w:w="1617" w:type="dxa"/>
            <w:shd w:val="clear" w:color="auto" w:fill="auto"/>
            <w:vAlign w:val="center"/>
          </w:tcPr>
          <w:p>
            <w:pPr>
              <w:widowControl/>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严格落实国家、自治区对生态保护红线及自然保护地的管控要求。</w:t>
            </w:r>
            <w:r>
              <w:rPr>
                <w:rFonts w:ascii="Times New Roman" w:hAnsi="Times New Roman" w:cs="Times New Roman"/>
                <w:szCs w:val="21"/>
              </w:rPr>
              <w:t>严禁不符合主体功能定位的各类开发活动，严禁任意改变用途，严格禁止任何单位和个人擅自占用和改变用地性质。</w:t>
            </w:r>
          </w:p>
          <w:p>
            <w:pPr>
              <w:snapToGrid w:val="0"/>
              <w:rPr>
                <w:rFonts w:ascii="Times New Roman" w:hAnsi="Times New Roman" w:cs="Times New Roman"/>
                <w:szCs w:val="21"/>
              </w:rPr>
            </w:pPr>
            <w:r>
              <w:rPr>
                <w:rFonts w:ascii="Times New Roman" w:hAnsi="Times New Roman" w:cs="Times New Roman"/>
                <w:szCs w:val="21"/>
              </w:rPr>
              <w:t>2、在符合现行法律法规前提下，除国家重大战略项目外，仅允许对生态功能不造成破坏的有限人为活动。</w:t>
            </w:r>
          </w:p>
          <w:p>
            <w:pPr>
              <w:snapToGrid w:val="0"/>
              <w:rPr>
                <w:rFonts w:ascii="Times New Roman" w:hAnsi="Times New Roman" w:cs="Times New Roman"/>
                <w:szCs w:val="21"/>
              </w:rPr>
            </w:pPr>
            <w:r>
              <w:rPr>
                <w:rFonts w:ascii="Times New Roman" w:hAnsi="Times New Roman" w:cs="Times New Roman"/>
                <w:szCs w:val="21"/>
              </w:rPr>
              <w:t>3、有限人为活动按照《中共中央办公厅 国务院办公厅印发＜关于在国土空间规划中统筹划定落实三条控制线的指导意见＞》和省级环境管控及准入要求清单进行。</w:t>
            </w:r>
          </w:p>
          <w:p>
            <w:pPr>
              <w:snapToGrid w:val="0"/>
              <w:rPr>
                <w:rFonts w:ascii="Times New Roman" w:hAnsi="Times New Roman" w:cs="Times New Roman"/>
                <w:szCs w:val="21"/>
              </w:rPr>
            </w:pPr>
            <w:r>
              <w:rPr>
                <w:rFonts w:ascii="Times New Roman" w:hAnsi="Times New Roman" w:cs="Times New Roman"/>
                <w:szCs w:val="21"/>
              </w:rPr>
              <w:t>4、生态公益林、天然林还需执行国家、自治区以及市县相应法律法规要求。</w:t>
            </w:r>
          </w:p>
          <w:p>
            <w:pPr>
              <w:adjustRightInd w:val="0"/>
              <w:snapToGrid w:val="0"/>
              <w:rPr>
                <w:rFonts w:ascii="Times New Roman" w:hAnsi="Times New Roman" w:cs="Times New Roman"/>
                <w:szCs w:val="21"/>
              </w:rPr>
            </w:pPr>
            <w:r>
              <w:rPr>
                <w:rFonts w:ascii="Times New Roman" w:hAnsi="Times New Roman" w:cs="Times New Roman"/>
                <w:szCs w:val="21"/>
              </w:rPr>
              <w:t>5、《生态保护红线管理办法》出台后，按其规定执行。.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0" w:hRule="atLeast"/>
        </w:trPr>
        <w:tc>
          <w:tcPr>
            <w:tcW w:w="2028"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ZH45070310006</w:t>
            </w:r>
          </w:p>
        </w:tc>
        <w:tc>
          <w:tcPr>
            <w:tcW w:w="1916"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大马鞍水库-南蛇水库饮用水水源保护区一般生态空间</w:t>
            </w:r>
          </w:p>
        </w:tc>
        <w:tc>
          <w:tcPr>
            <w:tcW w:w="161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rPr>
                <w:rFonts w:ascii="Times New Roman" w:hAnsi="Times New Roman" w:cs="Times New Roman"/>
              </w:rPr>
            </w:pPr>
            <w:r>
              <w:rPr>
                <w:rFonts w:ascii="Times New Roman" w:hAnsi="Times New Roman" w:cs="Times New Roman"/>
              </w:rPr>
              <w:t>1、按照《饮用水水源保护区污染防治管理规定》《中华人民共和国水污染防治法》《广西壮族自治区饮用水水源保护条例》《广西壮族自治区水污染防治条例》等相关法律法规进行管理。</w:t>
            </w:r>
          </w:p>
          <w:p>
            <w:pPr>
              <w:adjustRightInd w:val="0"/>
              <w:snapToGrid w:val="0"/>
              <w:rPr>
                <w:rFonts w:ascii="Times New Roman" w:hAnsi="Times New Roman" w:cs="Times New Roman"/>
                <w:szCs w:val="21"/>
              </w:rPr>
            </w:pPr>
            <w:r>
              <w:rPr>
                <w:rFonts w:ascii="Times New Roman" w:hAnsi="Times New Roman" w:cs="Times New Roman"/>
              </w:rPr>
              <w:t>2、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2" w:hRule="atLeast"/>
        </w:trPr>
        <w:tc>
          <w:tcPr>
            <w:tcW w:w="2028"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ZH45070310007</w:t>
            </w:r>
          </w:p>
        </w:tc>
        <w:tc>
          <w:tcPr>
            <w:tcW w:w="1916"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茅岭江饮用水水源保护区一般生态空间</w:t>
            </w:r>
          </w:p>
        </w:tc>
        <w:tc>
          <w:tcPr>
            <w:tcW w:w="161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1、按照《饮用水水源保护区污染防治管理规定》《中华人民共和国水污染防治法》《广西壮族自治区饮用水水源保护条例》《广西壮族自治区水污染防治条例》等相关法律法规进行管理。</w:t>
            </w:r>
          </w:p>
          <w:p>
            <w:pPr>
              <w:adjustRightInd w:val="0"/>
              <w:snapToGrid w:val="0"/>
              <w:rPr>
                <w:rFonts w:ascii="Times New Roman" w:hAnsi="Times New Roman" w:cs="Times New Roman"/>
                <w:szCs w:val="21"/>
              </w:rPr>
            </w:pPr>
            <w:r>
              <w:rPr>
                <w:rFonts w:ascii="Times New Roman" w:hAnsi="Times New Roman" w:cs="Times New Roman"/>
                <w:szCs w:val="21"/>
              </w:rPr>
              <w:t>2、国家级公益林依据《国家级公益林管理办法》（林资发〔2017〕34号）进行管理，严格控制勘查、开采矿藏和工程建设使用国家级公益林地。确需使用的，严格按照《建设项目使用林地审核审批管理办法》有关规定办理使用林地手续。涉及林木采伐的，按相关规定依法办理林木采伐手续。经审核审批同意使用的国家级公益林地，可按规定实行占补平衡。一级国家级公益林原则上不得开展生产经营活动，严禁打枝、采脂、割漆、剥树皮、掘根等行为。二级国家级公益林在不影响整体森林生态系统功能发挥的前提下，可以按照相关技术规程的规定开展抚育和更新性质的采伐。在不破坏森林植被的前提下，可以合理利用其林地资源，适度开展林下种植养殖和森林游憩等非木质资源开发与利用，科学发展林下经济。</w:t>
            </w:r>
          </w:p>
          <w:p>
            <w:pPr>
              <w:adjustRightInd w:val="0"/>
              <w:snapToGrid w:val="0"/>
              <w:rPr>
                <w:rFonts w:ascii="Times New Roman" w:hAnsi="Times New Roman" w:cs="Times New Roman"/>
                <w:szCs w:val="21"/>
              </w:rPr>
            </w:pPr>
            <w:r>
              <w:rPr>
                <w:rFonts w:ascii="Times New Roman" w:hAnsi="Times New Roman" w:cs="Times New Roman"/>
                <w:szCs w:val="21"/>
              </w:rPr>
              <w:t>3、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2028"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ZH45070310008</w:t>
            </w:r>
          </w:p>
        </w:tc>
        <w:tc>
          <w:tcPr>
            <w:tcW w:w="1916"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钦江饮用水水源保护区一般生态空间</w:t>
            </w:r>
          </w:p>
        </w:tc>
        <w:tc>
          <w:tcPr>
            <w:tcW w:w="161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rPr>
                <w:rFonts w:ascii="Times New Roman" w:hAnsi="Times New Roman" w:cs="Times New Roman"/>
              </w:rPr>
            </w:pPr>
            <w:r>
              <w:rPr>
                <w:rFonts w:ascii="Times New Roman" w:hAnsi="Times New Roman" w:cs="Times New Roman"/>
              </w:rPr>
              <w:t>1、按照《饮用水水源保护区污染防治管理规定》《中华人民共和国水污染防治法》《广西壮族自治区饮用水水源保护条例》《广西壮族自治区水污染防治条例》等相关法律法规进行管理。</w:t>
            </w:r>
          </w:p>
          <w:p>
            <w:pPr>
              <w:adjustRightInd w:val="0"/>
              <w:snapToGrid w:val="0"/>
              <w:rPr>
                <w:rFonts w:ascii="Times New Roman" w:hAnsi="Times New Roman" w:cs="Times New Roman"/>
                <w:szCs w:val="21"/>
              </w:rPr>
            </w:pPr>
            <w:r>
              <w:rPr>
                <w:rFonts w:ascii="Times New Roman" w:hAnsi="Times New Roman" w:cs="Times New Roman"/>
              </w:rPr>
              <w:t>2、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028"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ZH45070310009</w:t>
            </w:r>
          </w:p>
        </w:tc>
        <w:tc>
          <w:tcPr>
            <w:tcW w:w="1916" w:type="dxa"/>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钦北区其他优先保护单元</w:t>
            </w:r>
          </w:p>
        </w:tc>
        <w:tc>
          <w:tcPr>
            <w:tcW w:w="161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rPr>
                <w:rFonts w:ascii="Times New Roman" w:hAnsi="Times New Roman" w:cs="Times New Roman"/>
              </w:rPr>
            </w:pPr>
          </w:p>
          <w:p>
            <w:pPr>
              <w:adjustRightInd w:val="0"/>
              <w:snapToGrid w:val="0"/>
              <w:rPr>
                <w:rFonts w:ascii="Times New Roman" w:hAnsi="Times New Roman" w:cs="Times New Roman"/>
                <w:szCs w:val="21"/>
              </w:rPr>
            </w:pPr>
            <w:r>
              <w:rPr>
                <w:rFonts w:ascii="Times New Roman" w:hAnsi="Times New Roman" w:cs="Times New Roman"/>
                <w:szCs w:val="21"/>
              </w:rPr>
              <w:t>1、除符合国土空间规划建设和布局要求，以及市级以上矿产资源总体规划、能源开发利用规划、线性工程规划外，原则上按限制开发区域的要求进行管理。</w:t>
            </w:r>
          </w:p>
          <w:p>
            <w:pPr>
              <w:adjustRightInd w:val="0"/>
              <w:snapToGrid w:val="0"/>
              <w:rPr>
                <w:rFonts w:ascii="Times New Roman" w:hAnsi="Times New Roman" w:cs="Times New Roman"/>
                <w:szCs w:val="21"/>
              </w:rPr>
            </w:pPr>
            <w:r>
              <w:rPr>
                <w:rFonts w:ascii="Times New Roman" w:hAnsi="Times New Roman" w:cs="Times New Roman"/>
                <w:szCs w:val="21"/>
              </w:rPr>
              <w:t>2、矿产资源开发活动、新能源建设项目以及线性工程项目等要符合法律法规以及主体功能区规划、生态功能区划、环境保护总体规划、行业规划等规划要求，不得破坏生态、降低环境质量。要优化项目选址布局，严格控制开采量和开采区域，减少对生态空间的占用，不影响区域主导生态功能。要采取更加严格和有效的预防和保护措施，避免和减轻开发活动造成的生态破坏和环境污染。要严格落实项目环评的跟踪监测计划，项目开采（开工）、闭矿、跟踪监测要及时向所在地生态环境部门进行报备。加强矿山开采项目及其闭矿的环保督察，开展矿山区域生态环境质量飞行抽检。乡村振兴项目建设的审批简化和豁免要符合有关规定，不得影响区域主导生态功能、降低区域生态环境质量。</w:t>
            </w:r>
          </w:p>
          <w:p>
            <w:pP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生物多样性维护功能（极）重要区内禁止滥捕、乱采、乱猎野生动植物。保护自然生态系统与重要物种栖息地，禁止无序采矿、毁林开荒、湿地和草地开垦等各种损害栖息地的经济社会活动和生产方式。防止生态建设导致栖息环境的改变。加强对外来物种入侵的控制，禁止在生物多样性保护功能区引进外来物种。加强生物多样性资源调查与监测，保护和修复自然生态系统和重要物种栖息地，实施生物多样性保护工程。</w:t>
            </w:r>
          </w:p>
          <w:p>
            <w:pP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水源涵养功能（极）重要区内严格保护具有水源涵养功能的自然植被，禁止过度放牧、无序采矿、毁林开荒，限制或禁止湿地和草地开垦等损害生态系统水源涵养功能的活动。加强生态公益林改造和建设，通过封育恢复自然植被，促使其逐步向常绿阔叶林演化，提高水源涵养的功能；林产业向合理利用与保护建设相结合的生态型林业方向发展，保持森林生长与采伐利用的动态平衡，兼顾生态效益和经济效益，逐步恢复和改善地力；加强水土保持。</w:t>
            </w:r>
          </w:p>
          <w:p>
            <w:pP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依据《国家级公益林管理办法》（林资发〔2017〕34号）进行管理，严格控制勘查、开采矿藏和工程建设使用国家级公益林地。确需使用的，严格按照《建设项目使用林地审核审批管理办法》有关规定办理使用林地手续。涉及林木采伐的，按相关规定依法办理林木采伐手续。经审核审批同意使用的国家级公益林地，可按规定实行占补平衡。一级国家级公益林原则上不得开展生产经营活动，严禁打枝、采脂、割漆、剥树皮、掘根等行为。二级国家级公益林在不影响整体森林生态系统功能发挥的前提下，可以按照相关技术规程的规定开展抚育和更新性质的采伐。在不破坏森林植被的前提下，可以合理利用其林地资源，适度开展林下种植养殖和森林游憩等非木质资源开发与利用，科学发展林下经济。</w:t>
            </w:r>
          </w:p>
          <w:p>
            <w:pPr>
              <w:adjustRightInd w:val="0"/>
              <w:snapToGrid w:val="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p>
          <w:p>
            <w:pPr>
              <w:adjustRightInd w:val="0"/>
              <w:snapToGrid w:val="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源头水区严格控制区域开发强度，禁止建设水污染较大、水环境风险较高的项目。严禁水功能在Ⅱ类以上河流设置排污口，管控单元内工业污染物排放总量不得增加。现有的不符合保护要求的设施或项目限期退出或关停。严控可能造成水土流失的生产建设活动，建设单位在生产建设活动中造成水土流失的，应采取水土流失预防和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ZH45070320001</w:t>
            </w:r>
          </w:p>
        </w:tc>
        <w:tc>
          <w:tcPr>
            <w:tcW w:w="1916"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钦州市皇马工业园区重点管控单元</w:t>
            </w:r>
          </w:p>
        </w:tc>
        <w:tc>
          <w:tcPr>
            <w:tcW w:w="1617"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pStyle w:val="31"/>
              <w:rPr>
                <w:kern w:val="0"/>
              </w:rPr>
            </w:pPr>
            <w:r>
              <w:rPr>
                <w:kern w:val="0"/>
              </w:rPr>
              <w:t>1、皇马工业园一区与物流园区主要集中布置无干扰无污染的一类工业。皇马工业一、二区严格控制新增三类工业。</w:t>
            </w:r>
          </w:p>
          <w:p>
            <w:pPr>
              <w:pStyle w:val="31"/>
              <w:rPr>
                <w:kern w:val="0"/>
              </w:rPr>
            </w:pPr>
            <w:r>
              <w:rPr>
                <w:kern w:val="0"/>
              </w:rPr>
              <w:t>2、居住用地周边严控布局潜在污染扰民和环境风险突出的建设项目。</w:t>
            </w:r>
          </w:p>
          <w:p>
            <w:pPr>
              <w:pStyle w:val="31"/>
            </w:pPr>
            <w:r>
              <w:rPr>
                <w:kern w:val="0"/>
              </w:rPr>
              <w:t>3、严格审查进入工业园区的项目，引进项目必须符合国家产业政策，工业园区发展规划，禁止造纸、酒精、淀粉、制革、电镀等环境空气和水污染严重型企业进入园区。做好冶炼、化工、矿产品深加工企业入园数量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cs="Times New Roman"/>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887" w:type="dxa"/>
            <w:shd w:val="clear" w:color="auto" w:fill="auto"/>
            <w:vAlign w:val="center"/>
          </w:tcPr>
          <w:p>
            <w:pPr>
              <w:pStyle w:val="31"/>
              <w:rPr>
                <w:kern w:val="0"/>
              </w:rPr>
            </w:pPr>
            <w:r>
              <w:rPr>
                <w:kern w:val="0"/>
              </w:rPr>
              <w:t>1、完善工业园区污水集中处理设施和配套管网。实行“清污分流、雨污分流”，实现废水分类收集、分质处理，入园企业应在达到国家或地方规定的排放标准后接入集中式污水处理设施处理，园区集中式污水处理设施总排口应安装自动监控系统、视频监控系统，并与环境保护主管部门联网。</w:t>
            </w:r>
          </w:p>
          <w:p>
            <w:pPr>
              <w:pStyle w:val="31"/>
              <w:rPr>
                <w:kern w:val="0"/>
              </w:rPr>
            </w:pPr>
            <w:r>
              <w:rPr>
                <w:kern w:val="0"/>
              </w:rPr>
              <w:t>2、推动化工等重点行业挥发性有机物（VOCs）污染防治，强化企业精细化管控、无组织废气排放控制以及高效治污设施建设，严格控制挥发性有机污染物排放。</w:t>
            </w:r>
          </w:p>
          <w:p>
            <w:pPr>
              <w:pStyle w:val="31"/>
              <w:rPr>
                <w:kern w:val="0"/>
              </w:rPr>
            </w:pPr>
            <w:r>
              <w:rPr>
                <w:kern w:val="0"/>
              </w:rPr>
              <w:t>3、新、改、扩建的涉重金属重点行业建设项目必须以改善环境质量为核心，确保区域环境质量符合功能区定位，遵循重点重金属污染物排放“减量置换”或“等量置换”的原则，在项目审批前明确有具体的重金属污染物排放量来源，确保辖区完成重点行业重金属污染物排放总量控制目标。</w:t>
            </w:r>
          </w:p>
          <w:p>
            <w:pPr>
              <w:pStyle w:val="31"/>
            </w:pPr>
            <w:r>
              <w:rPr>
                <w:kern w:val="0"/>
              </w:rPr>
              <w:t>4、固体废物的处置应减量化、资源化、无害化，尽量实现废物的综合利用。工业园内各企业规范建设、完善各种固体废弃物临时堆场，严禁固体废物无序、不规范堆存。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cs="Times New Roman"/>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887" w:type="dxa"/>
            <w:shd w:val="clear" w:color="auto" w:fill="auto"/>
            <w:vAlign w:val="center"/>
          </w:tcPr>
          <w:p>
            <w:pPr>
              <w:pStyle w:val="31"/>
              <w:rPr>
                <w:kern w:val="0"/>
              </w:rPr>
            </w:pPr>
            <w:r>
              <w:rPr>
                <w:kern w:val="0"/>
              </w:rPr>
              <w:t>1、建设项目应严格落实环境保护措施和环境风险防范措施，防范对钦江饮用水水源保护区的环境风险。</w:t>
            </w:r>
          </w:p>
          <w:p>
            <w:pPr>
              <w:pStyle w:val="31"/>
              <w:rPr>
                <w:kern w:val="0"/>
              </w:rPr>
            </w:pPr>
            <w:r>
              <w:rPr>
                <w:kern w:val="0"/>
              </w:rPr>
              <w:t>2、开展环境风险评估，制定突发环境事件应急预案并备案，配备应急能力和物资，建设环境应急队伍，并定期演练。企业、园区与地方人民政府环境应急预案应当有机衔接。</w:t>
            </w:r>
          </w:p>
          <w:p>
            <w:pPr>
              <w:pStyle w:val="31"/>
            </w:pPr>
            <w:r>
              <w:rPr>
                <w:kern w:val="0"/>
              </w:rPr>
              <w:t>3、土壤污染重点监管单位应当严格控制有毒有害物质排放，并按年度向生态环境主管部门报告排放情况；建立土壤污染隐患排查制度，保证持续有效防止有毒有害物质渗漏、流失、扬散；制定、实施自行监测方案，并将监测数据报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1"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cs="Times New Roman"/>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887" w:type="dxa"/>
            <w:shd w:val="clear" w:color="auto" w:fill="auto"/>
            <w:vAlign w:val="center"/>
          </w:tcPr>
          <w:p>
            <w:pPr>
              <w:pStyle w:val="31"/>
              <w:rPr>
                <w:kern w:val="0"/>
              </w:rPr>
            </w:pPr>
            <w:r>
              <w:rPr>
                <w:kern w:val="0"/>
              </w:rPr>
              <w:t>1、依据《钦州市人民政府关于划定高污染燃料禁燃区的通告》，高污染燃料为：（一）除单台出力大于等于20蒸吨/小时锅炉以外的燃用煤炭及其制品；（二）石油焦、油页岩、原油、重油、渣油、煤焦油，以及各种可燃废物和直接燃用的生物质非成型燃料（树木、秸秆、锯末、稻壳、蔗渣等）。高污染燃料禁燃区内在集中供热管网或者燃气管网覆盖范围内的单台出力小于20蒸吨/小时的锅炉、窑炉等燃用高污染燃料设施，应当改用集中供热或者改用天然气、电等清洁能源；未在集中供热管网或者燃气管网覆盖范围内的，可以改用生物质成型燃料或者其他清洁能源，以淘汰燃用高污染燃料的锅炉、窑炉等燃烧设施。单台出力65蒸吨/小时以上燃煤机组按照国家相关污染物排放标准有序开展超低排放改造。禁燃区内禁止新建、扩建燃用高污染燃料的锅炉、窑炉等燃烧设施。</w:t>
            </w:r>
          </w:p>
          <w:p>
            <w:pPr>
              <w:pStyle w:val="31"/>
              <w:rPr>
                <w:kern w:val="0"/>
              </w:rPr>
            </w:pPr>
            <w:r>
              <w:rPr>
                <w:kern w:val="0"/>
              </w:rPr>
              <w:t>2、严格实行用水总量控制，新建、扩建供水工程的取水量需报相关部门进行审核，强化水资源利用，提高水的重复利用率。</w:t>
            </w:r>
          </w:p>
          <w:p>
            <w:pPr>
              <w:pStyle w:val="31"/>
            </w:pPr>
            <w:r>
              <w:rPr>
                <w:kern w:val="0"/>
              </w:rPr>
              <w:t>3、加强优化能源消费结构，提高能源利用效率。加快推进 “煤改气”、“煤改电”等工程的建设。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restart"/>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ZH45070320002</w:t>
            </w:r>
          </w:p>
        </w:tc>
        <w:tc>
          <w:tcPr>
            <w:tcW w:w="1916" w:type="dxa"/>
            <w:vMerge w:val="restart"/>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钦北平吉临港产业园区重点管控单元</w:t>
            </w:r>
          </w:p>
        </w:tc>
        <w:tc>
          <w:tcPr>
            <w:tcW w:w="1617"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1、居住用地周边严控布局潜在污染扰民和环境风险突出的建设项目。</w:t>
            </w:r>
          </w:p>
          <w:p>
            <w:pPr>
              <w:pStyle w:val="31"/>
              <w:rPr>
                <w:rFonts w:eastAsiaTheme="minorEastAsia"/>
                <w:szCs w:val="24"/>
              </w:rPr>
            </w:pPr>
            <w:r>
              <w:rPr>
                <w:rFonts w:eastAsiaTheme="minorEastAsia"/>
                <w:szCs w:val="24"/>
              </w:rPr>
              <w:t>2、新建大气污染物排放的工业项目，原则上应当进入工业园区或者工业集聚区；加快布局分散的企业向园区集中。</w:t>
            </w:r>
          </w:p>
          <w:p>
            <w:pPr>
              <w:pStyle w:val="2"/>
              <w:rPr>
                <w:rFonts w:hint="default" w:ascii="Times New Roman" w:hAnsi="Times New Roman"/>
                <w:color w:val="auto"/>
              </w:rPr>
            </w:pPr>
            <w:r>
              <w:rPr>
                <w:rFonts w:hint="default" w:ascii="Times New Roman" w:hAnsi="Times New Roman" w:eastAsiaTheme="minorEastAsia"/>
                <w:color w:val="auto"/>
                <w:kern w:val="2"/>
                <w:sz w:val="21"/>
                <w:szCs w:val="24"/>
              </w:rPr>
              <w:t>3、产业园区管理机构应将规划环评结论及审查意见落实到规划中。负责统筹区域内生态环境基础设施建设，不得引入不符合规划环评结论及审查意见的项目入园。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eastAsia="宋体" w:cs="Times New Roman"/>
                <w:kern w:val="0"/>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887" w:type="dxa"/>
            <w:shd w:val="clear" w:color="auto" w:fill="auto"/>
            <w:vAlign w:val="center"/>
          </w:tcPr>
          <w:p>
            <w:pPr>
              <w:pStyle w:val="31"/>
              <w:rPr>
                <w:rFonts w:eastAsiaTheme="minorEastAsia"/>
              </w:rPr>
            </w:pPr>
            <w:r>
              <w:rPr>
                <w:rFonts w:eastAsiaTheme="minorEastAsia"/>
              </w:rPr>
              <w:t>1、深化园区工业污染治理，持续推进工业污染源全面达标排放，开展烟气高效脱硫脱硝、除尘改造。推进各类园区技术、工艺、设备等生态化、循环化改造，积极推广园区集中供热。强化园区堆场扬尘控制。推动重点行业VOCs的排放管控，加强VOCs排放企业源头控制。</w:t>
            </w:r>
            <w:r>
              <w:t>强化工业企业无组织排放管理。</w:t>
            </w:r>
          </w:p>
          <w:p>
            <w:pPr>
              <w:pStyle w:val="31"/>
              <w:rPr>
                <w:rFonts w:eastAsiaTheme="minorEastAsia"/>
              </w:rPr>
            </w:pPr>
            <w:r>
              <w:rPr>
                <w:rFonts w:eastAsiaTheme="minorEastAsia"/>
              </w:rPr>
              <w:t>2、逐步完成工业集聚区集中式污水处理设施建设，确保已建污水处理设施稳定运行及达标排放。园区集中式污水处理设施总排口安装自动监控系统、视频监控系统，并与生态环境主管部门联网。按照“清污分流、雨污分流”原则，实施废水分类收集、分质处理。</w:t>
            </w:r>
          </w:p>
          <w:p>
            <w:pPr>
              <w:pStyle w:val="31"/>
              <w:numPr>
                <w:ilvl w:val="255"/>
                <w:numId w:val="0"/>
              </w:numPr>
              <w:rPr>
                <w:rFonts w:eastAsiaTheme="minorEastAsia"/>
              </w:rPr>
            </w:pPr>
            <w:r>
              <w:rPr>
                <w:rFonts w:eastAsiaTheme="minorEastAsia"/>
              </w:rPr>
              <w:t>3、园区及园区企业排放水污染物，要满足国家或者地方规定的水污染物排放标准和重点水污染物排放总量控制指标。直接外排水环境的，执行国家或者地方规定的标准要求；经城镇污水集中处理设施处理后排放的，执行市政部门管理要求；经园区污水集中处理设施处理后排放的，执行园区管理部门相关要求。</w:t>
            </w:r>
          </w:p>
          <w:p>
            <w:pPr>
              <w:pStyle w:val="31"/>
              <w:numPr>
                <w:ilvl w:val="255"/>
                <w:numId w:val="0"/>
              </w:numPr>
              <w:rPr>
                <w:rFonts w:eastAsiaTheme="minorEastAsia"/>
              </w:rPr>
            </w:pPr>
            <w:r>
              <w:rPr>
                <w:rFonts w:eastAsiaTheme="minorEastAsia"/>
              </w:rPr>
              <w:t>4、推广使用清洁能源、集中供热和中水回用。</w:t>
            </w:r>
          </w:p>
          <w:p>
            <w:pPr>
              <w:adjustRightInd w:val="0"/>
              <w:snapToGrid w:val="0"/>
              <w:rPr>
                <w:rFonts w:ascii="Times New Roman" w:hAnsi="Times New Roman" w:cs="Times New Roman"/>
                <w:szCs w:val="21"/>
              </w:rPr>
            </w:pPr>
            <w:r>
              <w:rPr>
                <w:rFonts w:ascii="Times New Roman" w:hAnsi="Times New Roman" w:cs="Times New Roman"/>
                <w:szCs w:val="21"/>
              </w:rPr>
              <w:t>5、矿产资源勘查以及采选过程中排土场、露天采场、尾矿库、矿区专用道路、矿山工业场地、沉陷区、矸石场、矿山污染场地等的生态环境保护与治理恢复工作须满足《矿山生态环境保护与恢复治理技术规范（试行）》（HJ651-2013）要求。落实边开采、边保护、边复垦的要求，使新建、在建矿山损毁土地得到全面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eastAsia="宋体" w:cs="Times New Roman"/>
                <w:kern w:val="0"/>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开展环境风险评估，制定突发环境事件应急预案并备案，配备应急能力和物资，建设环境应急队伍，并定期演练。企业、园区与地方人民政府环境应急预案应当有机衔接。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eastAsia="宋体" w:cs="Times New Roman"/>
                <w:kern w:val="0"/>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887" w:type="dxa"/>
            <w:shd w:val="clear" w:color="auto" w:fill="auto"/>
            <w:vAlign w:val="center"/>
          </w:tcPr>
          <w:p>
            <w:pPr>
              <w:pStyle w:val="31"/>
              <w:rPr>
                <w:kern w:val="0"/>
              </w:rPr>
            </w:pPr>
            <w:r>
              <w:rPr>
                <w:kern w:val="0"/>
              </w:rPr>
              <w:t>1、提高工业用水循环利用率，减少工业新鲜水用量，提高企业中水回用率。</w:t>
            </w:r>
          </w:p>
          <w:p>
            <w:pPr>
              <w:pStyle w:val="31"/>
            </w:pPr>
            <w:r>
              <w:rPr>
                <w:kern w:val="0"/>
              </w:rPr>
              <w:t>2、推进区域土地节约集约利用，优先保障区域主导产业发展用地。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restart"/>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ZH45070320003</w:t>
            </w:r>
          </w:p>
        </w:tc>
        <w:tc>
          <w:tcPr>
            <w:tcW w:w="1916" w:type="dxa"/>
            <w:vMerge w:val="restart"/>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北部湾林木产业园重点管控单元</w:t>
            </w:r>
          </w:p>
        </w:tc>
        <w:tc>
          <w:tcPr>
            <w:tcW w:w="1617"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1、居住用地周边严控布局潜在污染扰民和环境风险突出的建设项目。</w:t>
            </w:r>
          </w:p>
          <w:p>
            <w:pPr>
              <w:pStyle w:val="31"/>
            </w:pPr>
            <w:r>
              <w:t>2、禁止排放重金属、持久性有机物和有毒有害污染物企业入园区，禁止高耗能、高污染为主企业入园。</w:t>
            </w:r>
          </w:p>
          <w:p>
            <w:pPr>
              <w:pStyle w:val="31"/>
            </w:pPr>
            <w:r>
              <w:t>3、新建大气污染物排放的工业项目，原则上应当进入工业园区或者工业集聚区；加快布局分散的企业向园区集中。</w:t>
            </w:r>
          </w:p>
          <w:p>
            <w:pPr>
              <w:adjustRightInd w:val="0"/>
              <w:snapToGrid w:val="0"/>
              <w:rPr>
                <w:rFonts w:ascii="Times New Roman" w:hAnsi="Times New Roman" w:cs="Times New Roman"/>
                <w:szCs w:val="21"/>
              </w:rPr>
            </w:pPr>
            <w:r>
              <w:rPr>
                <w:rFonts w:ascii="Times New Roman" w:hAnsi="Times New Roman" w:cs="Times New Roman"/>
              </w:rPr>
              <w:t>4、产业园区管理机构应将规划环评结论及审查意见落实到规划中。负责统筹区域内生态环境基础设施建设，不得引入不符合规划环评结论及审查意见的项目入园。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eastAsia="宋体" w:cs="Times New Roman"/>
                <w:kern w:val="0"/>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887" w:type="dxa"/>
            <w:shd w:val="clear" w:color="auto" w:fill="auto"/>
            <w:vAlign w:val="center"/>
          </w:tcPr>
          <w:p>
            <w:pPr>
              <w:pStyle w:val="31"/>
              <w:rPr>
                <w:rFonts w:eastAsiaTheme="minorEastAsia"/>
              </w:rPr>
            </w:pPr>
            <w:r>
              <w:rPr>
                <w:rFonts w:eastAsiaTheme="minorEastAsia"/>
              </w:rPr>
              <w:t>1、深化园区工业污染治理，持续推进工业污染源全面达标排放，开展烟气高效脱硫脱硝、除尘改造。推进各类园区技术、工艺、设备等生态化、循环化改造，积极推广园区集中供热。强化园区堆场扬尘控制。推动重点行业VOCs的排放管控，加强VOCs排放企业源头控制。</w:t>
            </w:r>
          </w:p>
          <w:p>
            <w:pPr>
              <w:pStyle w:val="31"/>
              <w:rPr>
                <w:rFonts w:eastAsiaTheme="minorEastAsia"/>
              </w:rPr>
            </w:pPr>
            <w:r>
              <w:rPr>
                <w:rFonts w:eastAsiaTheme="minorEastAsia"/>
              </w:rPr>
              <w:t>2、逐步完成工业集聚区集中式污水处理设施建设，确保已建污水处理设施稳定运行及达标排放。园区集中式污水处理设施总排口安装自动监控系统、视频监控系统，并与生态环境主管部门联网。按照“清污分流、雨污分流”原则，实施废水分类收集、分质处理。</w:t>
            </w:r>
          </w:p>
          <w:p>
            <w:pPr>
              <w:adjustRightInd w:val="0"/>
              <w:snapToGrid w:val="0"/>
              <w:rPr>
                <w:rFonts w:ascii="Times New Roman" w:hAnsi="Times New Roman" w:cs="Times New Roman"/>
                <w:szCs w:val="21"/>
              </w:rPr>
            </w:pPr>
            <w:r>
              <w:rPr>
                <w:rFonts w:ascii="Times New Roman" w:hAnsi="Times New Roman" w:cs="Times New Roman"/>
              </w:rPr>
              <w:t>3、园区及园区企业排放水污染物，要满足国家或者地方规定的水污染物排放标准和重点水污染物排放总量控制指标。直接外排水环境的，执行国家或者地方规定的标准要求；经城镇污水集中处理设施处理后排放的，执行市政部门管理要求；经园区污水集中处理设施处理后排放的，执行园区管理部门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eastAsia="宋体" w:cs="Times New Roman"/>
                <w:kern w:val="0"/>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1、建设项目应严格落实环境保护措施和环境风险防范措施，防范对周边及下游饮用水水源保护区的环境风险。</w:t>
            </w:r>
          </w:p>
          <w:p>
            <w:pPr>
              <w:adjustRightInd w:val="0"/>
              <w:snapToGrid w:val="0"/>
              <w:rPr>
                <w:rFonts w:ascii="Times New Roman" w:hAnsi="Times New Roman" w:cs="Times New Roman"/>
                <w:szCs w:val="21"/>
              </w:rPr>
            </w:pPr>
            <w:r>
              <w:rPr>
                <w:rFonts w:ascii="Times New Roman" w:hAnsi="Times New Roman" w:cs="Times New Roman"/>
                <w:szCs w:val="21"/>
              </w:rPr>
              <w:t>2、开展环境风险评估，制定突发环境事件应急预案并备案，配备应急能力和物资，建设环境应急队伍，并定期演练。企业、园区与地方人民政府环境应急预案应当有机衔接。</w:t>
            </w:r>
          </w:p>
          <w:p>
            <w:pPr>
              <w:adjustRightInd w:val="0"/>
              <w:snapToGrid w:val="0"/>
              <w:rPr>
                <w:rFonts w:ascii="Times New Roman" w:hAnsi="Times New Roman" w:cs="Times New Roman"/>
                <w:szCs w:val="21"/>
              </w:rPr>
            </w:pPr>
            <w:r>
              <w:rPr>
                <w:rFonts w:ascii="Times New Roman" w:hAnsi="Times New Roman" w:cs="Times New Roman"/>
                <w:szCs w:val="21"/>
              </w:rPr>
              <w:t>3、</w:t>
            </w:r>
            <w:r>
              <w:rPr>
                <w:rFonts w:ascii="Times New Roman" w:hAnsi="Times New Roman" w:eastAsia="宋体" w:cs="Times New Roman"/>
                <w:kern w:val="0"/>
                <w:szCs w:val="21"/>
              </w:rPr>
              <w:t>土壤污染重点监管单位应当严格控制有毒有害物质排放，并按年度向所在地设区的市人民政府生态环境主管部门报告排放情况；建立土壤污染隐患排查制度，保证持续有效防止有毒有害物质渗漏、流失、扬散。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eastAsia="宋体" w:cs="Times New Roman"/>
                <w:kern w:val="0"/>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pStyle w:val="31"/>
            </w:pPr>
            <w:r>
              <w:t>资源开发利用效率要求</w:t>
            </w:r>
          </w:p>
        </w:tc>
        <w:tc>
          <w:tcPr>
            <w:tcW w:w="8887" w:type="dxa"/>
            <w:shd w:val="clear" w:color="auto" w:fill="auto"/>
            <w:vAlign w:val="center"/>
          </w:tcPr>
          <w:p>
            <w:pPr>
              <w:pStyle w:val="31"/>
            </w:pPr>
            <w:r>
              <w:t>推进区域土地节约集约利用，优先保障区域主导产业发展用地。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restart"/>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ZH45070320004</w:t>
            </w:r>
          </w:p>
        </w:tc>
        <w:tc>
          <w:tcPr>
            <w:tcW w:w="1916" w:type="dxa"/>
            <w:vMerge w:val="restart"/>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钦州南间经济区重点管控单元</w:t>
            </w:r>
          </w:p>
        </w:tc>
        <w:tc>
          <w:tcPr>
            <w:tcW w:w="1617"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1、居住用地周边严控布局潜在污染扰民和环境风险突出的建设项目。</w:t>
            </w:r>
          </w:p>
          <w:p>
            <w:pPr>
              <w:pStyle w:val="2"/>
              <w:rPr>
                <w:rFonts w:hint="default" w:ascii="Times New Roman" w:hAnsi="Times New Roman" w:eastAsiaTheme="minorEastAsia"/>
                <w:color w:val="auto"/>
                <w:kern w:val="2"/>
                <w:sz w:val="21"/>
                <w:szCs w:val="24"/>
              </w:rPr>
            </w:pPr>
            <w:r>
              <w:rPr>
                <w:rFonts w:hint="default" w:ascii="Times New Roman" w:hAnsi="Times New Roman" w:eastAsiaTheme="minorEastAsia"/>
                <w:color w:val="auto"/>
                <w:kern w:val="2"/>
                <w:sz w:val="21"/>
                <w:szCs w:val="24"/>
              </w:rPr>
              <w:t>2、新建大气污染物排放的工业项目，原则上应当进入工业园区或者工业集聚区；加快布局分散的企业向园区集中。</w:t>
            </w:r>
          </w:p>
          <w:p>
            <w:pPr>
              <w:pStyle w:val="2"/>
              <w:rPr>
                <w:rFonts w:hint="default" w:ascii="Times New Roman" w:hAnsi="Times New Roman"/>
                <w:color w:val="auto"/>
              </w:rPr>
            </w:pPr>
            <w:r>
              <w:rPr>
                <w:rFonts w:hint="default" w:ascii="Times New Roman" w:hAnsi="Times New Roman" w:eastAsiaTheme="minorEastAsia"/>
                <w:color w:val="auto"/>
                <w:kern w:val="2"/>
                <w:sz w:val="21"/>
                <w:szCs w:val="24"/>
              </w:rPr>
              <w:t>3、产业园区管理机构应将规划环评结论及审查意见落实到规划中。负责统筹区域内生态环境基础设施建设，不得引入不符合规划环评结论及审查意见的项目入园。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eastAsia="宋体" w:cs="Times New Roman"/>
                <w:kern w:val="0"/>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887"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深化园区工业污染治理，持续推进工业污染源全面达标排放，开展烟气高效脱硫脱硝、除尘改造。推进各类园区技术、工艺、设备等生态化、循环化改造，积极推广园区集中供热。强化园区堆场扬尘控制。推动重点行业VOCs的排放管控，加强VOCs排放企业源头控制。加强园区无组织废气排放管理。</w:t>
            </w:r>
          </w:p>
          <w:p>
            <w:pPr>
              <w:adjustRightInd w:val="0"/>
              <w:snapToGrid w:val="0"/>
              <w:rPr>
                <w:rFonts w:ascii="Times New Roman" w:hAnsi="Times New Roman" w:cs="Times New Roman"/>
              </w:rPr>
            </w:pPr>
            <w:r>
              <w:rPr>
                <w:rFonts w:ascii="Times New Roman" w:hAnsi="Times New Roman" w:cs="Times New Roman"/>
              </w:rPr>
              <w:t>2、逐步完成工业集聚区集中式污水处理设施建设，确保已建污水处理设施稳定运行及达标排放。园区集中式污水处理设施总排口安装自动监控系统、视频监控系统，并与生态环境主管部门联网。按照“清污分流、雨污分流”原则，实施废水分类收集、分质处理。</w:t>
            </w:r>
          </w:p>
          <w:p>
            <w:pPr>
              <w:pStyle w:val="2"/>
              <w:rPr>
                <w:rFonts w:hint="default" w:ascii="Times New Roman" w:hAnsi="Times New Roman"/>
              </w:rPr>
            </w:pPr>
            <w:r>
              <w:rPr>
                <w:rFonts w:hint="default" w:ascii="Times New Roman" w:hAnsi="Times New Roman" w:eastAsiaTheme="minorEastAsia"/>
                <w:kern w:val="2"/>
                <w:sz w:val="21"/>
                <w:szCs w:val="24"/>
              </w:rPr>
              <w:t>3、园区及园区企业排放水污染物，要满足国家或者地方规定的水污染物排放标准和重点水污染物排放总量控制指标。直接外排水环境的，执行国家或者地方规定的标准要求；经城镇污水集中处理设施处理后排放的，执行市政部门管理要求；经园区污水集中处理设施处理后排放的，执行园区管理部门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eastAsia="宋体" w:cs="Times New Roman"/>
                <w:kern w:val="0"/>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开展环境风险评估，制定突发环境事件应急预案并备案，配备应急能力和物资，建设环境应急队伍，并定期演练。企业、园区与地方人民政府环境应急预案应当有机衔接。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eastAsia="宋体" w:cs="Times New Roman"/>
                <w:kern w:val="0"/>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pStyle w:val="31"/>
            </w:pPr>
            <w:r>
              <w:t>资源开发利用效率要求</w:t>
            </w:r>
          </w:p>
        </w:tc>
        <w:tc>
          <w:tcPr>
            <w:tcW w:w="8887" w:type="dxa"/>
            <w:shd w:val="clear" w:color="auto" w:fill="auto"/>
            <w:vAlign w:val="center"/>
          </w:tcPr>
          <w:p>
            <w:pPr>
              <w:pStyle w:val="31"/>
            </w:pPr>
            <w:r>
              <w:t>推进区域土地节约集约利用，优先保障区域主导产业发展用地。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restart"/>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ZH45070320005</w:t>
            </w:r>
          </w:p>
        </w:tc>
        <w:tc>
          <w:tcPr>
            <w:tcW w:w="1916" w:type="dxa"/>
            <w:vMerge w:val="restart"/>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钦北区城镇空间重点管控单元</w:t>
            </w:r>
          </w:p>
        </w:tc>
        <w:tc>
          <w:tcPr>
            <w:tcW w:w="1617"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adjustRightInd w:val="0"/>
              <w:snapToGrid w:val="0"/>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在城市建成区内，禁止新建、改建、扩建产生恶臭气体的项目，禁止贮存、加工、制造或者使用产生恶臭气体的物质；公共服务设施垃圾转运站项目可按《生活垃圾转运站技术规范》（CJJ/T47-2016）实施。</w:t>
            </w:r>
          </w:p>
          <w:p>
            <w:pPr>
              <w:adjustRightInd w:val="0"/>
              <w:snapToGrid w:val="0"/>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城市建成区内的钢铁、石油、化工、有色金属、水泥、平板玻璃、建筑陶瓷、砖瓦等行业中的高排放、高污染项目，应当逐步进行搬迁、改造或者转型、退出。</w:t>
            </w:r>
          </w:p>
          <w:p>
            <w:pPr>
              <w:adjustRightInd w:val="0"/>
              <w:snapToGrid w:val="0"/>
              <w:rPr>
                <w:rFonts w:ascii="Times New Roman" w:hAnsi="Times New Roman" w:cs="Times New Roman"/>
                <w:szCs w:val="21"/>
              </w:rPr>
            </w:pPr>
            <w:r>
              <w:rPr>
                <w:rFonts w:ascii="Times New Roman" w:hAnsi="Times New Roman" w:cs="Times New Roman"/>
                <w:szCs w:val="21"/>
              </w:rPr>
              <w:t>3、城市市区、镇和村庄居民区、文化教育科学研究区等人口集中区域</w:t>
            </w:r>
            <w:r>
              <w:rPr>
                <w:rFonts w:ascii="Times New Roman" w:hAnsi="Times New Roman" w:cs="Times New Roman"/>
                <w:b/>
                <w:szCs w:val="21"/>
              </w:rPr>
              <w:t>禁止</w:t>
            </w:r>
            <w:r>
              <w:rPr>
                <w:rFonts w:ascii="Times New Roman" w:hAnsi="Times New Roman" w:cs="Times New Roman"/>
                <w:szCs w:val="21"/>
              </w:rPr>
              <w:t>设置畜禽养殖场、养殖小区。</w:t>
            </w:r>
          </w:p>
          <w:p>
            <w:pPr>
              <w:adjustRightInd w:val="0"/>
              <w:snapToGrid w:val="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b/>
                <w:szCs w:val="21"/>
              </w:rPr>
              <w:t>禁止</w:t>
            </w:r>
            <w:r>
              <w:rPr>
                <w:rFonts w:ascii="Times New Roman" w:hAnsi="Times New Roman" w:cs="Times New Roman"/>
                <w:szCs w:val="21"/>
              </w:rPr>
              <w:t>在居民区和学校、医院、疗养院、养老院等单位周边新建、改建、扩建可能造成土壤污染的建设项目。</w:t>
            </w:r>
            <w:r>
              <w:rPr>
                <w:rFonts w:ascii="Times New Roman" w:hAnsi="Times New Roman" w:cs="Times New Roman"/>
                <w:b/>
                <w:szCs w:val="21"/>
              </w:rPr>
              <w:t>禁止</w:t>
            </w:r>
            <w:r>
              <w:rPr>
                <w:rFonts w:ascii="Times New Roman" w:hAnsi="Times New Roman" w:cs="Times New Roman"/>
                <w:szCs w:val="21"/>
              </w:rPr>
              <w:t>在人口聚居区域内新（改、扩）建涉重金属企业。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cs="Times New Roman"/>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887" w:type="dxa"/>
            <w:shd w:val="clear" w:color="auto" w:fill="auto"/>
            <w:vAlign w:val="center"/>
          </w:tcPr>
          <w:p>
            <w:pPr>
              <w:rPr>
                <w:rFonts w:ascii="Times New Roman" w:hAnsi="Times New Roman" w:cs="Times New Roman"/>
              </w:rPr>
            </w:pPr>
            <w:r>
              <w:rPr>
                <w:rFonts w:ascii="Times New Roman" w:hAnsi="Times New Roman" w:cs="Times New Roman"/>
              </w:rPr>
              <w:t>1、加大燃煤小锅炉淘汰力度。依法依规加快淘汰老旧柴油货车。严格控制施工和道路扬尘污染。禁止露天焚烧产生有毒有害烟尘和恶臭气体的物质。鼓励建筑装修、汽修喷涂作业、干洗等行业，使用低毒、低挥发性溶剂。</w:t>
            </w:r>
          </w:p>
          <w:p>
            <w:pPr>
              <w:rPr>
                <w:rFonts w:ascii="Times New Roman" w:hAnsi="Times New Roman" w:cs="Times New Roman"/>
              </w:rPr>
            </w:pPr>
            <w:r>
              <w:rPr>
                <w:rFonts w:ascii="Times New Roman" w:hAnsi="Times New Roman" w:cs="Times New Roman"/>
              </w:rPr>
              <w:t>2、城市建成区基本消除生活污水直排口，有效杜绝污水直排水体。</w:t>
            </w:r>
          </w:p>
          <w:p>
            <w:pPr>
              <w:adjustRightInd w:val="0"/>
              <w:snapToGrid w:val="0"/>
              <w:rPr>
                <w:rFonts w:ascii="Times New Roman" w:hAnsi="Times New Roman" w:cs="Times New Roman"/>
                <w:szCs w:val="21"/>
              </w:rPr>
            </w:pPr>
            <w:r>
              <w:rPr>
                <w:rFonts w:ascii="Times New Roman" w:hAnsi="Times New Roman" w:cs="Times New Roman"/>
              </w:rPr>
              <w:t>3、提高污水处理能力，完善既有污水处理厂和新建、扩建污水处理厂配套管网建设，基本实现城中村、老旧城区和城乡结合部生活污水收集处理。加强沿海城市生活污水处理设施及配套管网建设和改造，增强脱氮除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cs="Times New Roman"/>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887"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szCs w:val="21"/>
              </w:rPr>
              <w:t>对暂不开发利用的污染地块，实施以防止污染扩散为目的的风险管控；对拟开发利用为居住用地和商业、学校、医疗、养老机构等公共设施用地的污染地块，实施以安全利用为目的的风险管控。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cs="Times New Roman"/>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禁燃区内禁止销售、使用原煤等高污染燃料，现有燃用高污染燃料的设施应在规定期限内停止燃用高污染燃料，改用天然气、液化石油气、电或者其他清洁能源。其余按照《钦州市人民政府关于划定高污染燃料禁燃区的通告》要求实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restart"/>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ZH45070320006</w:t>
            </w:r>
          </w:p>
        </w:tc>
        <w:tc>
          <w:tcPr>
            <w:tcW w:w="1916" w:type="dxa"/>
            <w:vMerge w:val="restart"/>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钦北区布局敏感区重点管控单元</w:t>
            </w:r>
          </w:p>
        </w:tc>
        <w:tc>
          <w:tcPr>
            <w:tcW w:w="1617"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adjustRightInd w:val="0"/>
              <w:snapToGrid w:val="0"/>
              <w:rPr>
                <w:rFonts w:ascii="Times New Roman" w:hAnsi="Times New Roman" w:cs="Times New Roman"/>
                <w:szCs w:val="21"/>
              </w:rPr>
            </w:pPr>
            <w:r>
              <w:rPr>
                <w:rFonts w:hint="eastAsia" w:ascii="Times New Roman" w:hAnsi="Times New Roman" w:cs="Times New Roman"/>
                <w:szCs w:val="21"/>
              </w:rPr>
              <w:t>1、原则上避免大规模排放大气污染物的项目布局建设。</w:t>
            </w:r>
          </w:p>
          <w:p>
            <w:pPr>
              <w:adjustRightInd w:val="0"/>
              <w:snapToGrid w:val="0"/>
              <w:rPr>
                <w:rFonts w:ascii="Times New Roman" w:hAnsi="Times New Roman" w:cs="Times New Roman"/>
                <w:szCs w:val="21"/>
              </w:rPr>
            </w:pPr>
            <w:r>
              <w:rPr>
                <w:rFonts w:hint="eastAsia" w:ascii="Times New Roman" w:hAnsi="Times New Roman" w:cs="Times New Roman"/>
                <w:szCs w:val="21"/>
              </w:rPr>
              <w:t>2、引导以V0Cs排放为主的新建工业企业进入园区。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cs="Times New Roman"/>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全面开展“散乱污”企业及集群综合整治行动。加大区域内大气污染治理力度，优化大气污染物排放项目布局，引导新建、扩建排放大气污染工业项目采用清洁生产工艺、先进的污染防治工艺。强化不利气象条件下秸秆焚烧控制，空气污染预警情况下严格执行秸秆禁烧管控。加强VOCs排放企业源头控制。</w:t>
            </w:r>
          </w:p>
          <w:p>
            <w:pPr>
              <w:adjustRightInd w:val="0"/>
              <w:snapToGrid w:val="0"/>
              <w:rPr>
                <w:rFonts w:ascii="Times New Roman" w:hAnsi="Times New Roman" w:cs="Times New Roman"/>
              </w:rPr>
            </w:pPr>
            <w:r>
              <w:rPr>
                <w:rFonts w:ascii="Times New Roman" w:hAnsi="Times New Roman" w:cs="Times New Roman"/>
                <w:bCs/>
                <w:szCs w:val="21"/>
              </w:rPr>
              <w:t>2、</w:t>
            </w:r>
            <w:r>
              <w:rPr>
                <w:rFonts w:ascii="Times New Roman" w:hAnsi="Times New Roman" w:cs="Times New Roman"/>
                <w:szCs w:val="21"/>
              </w:rPr>
              <w:t>矿产资源勘查以及采选过程中排土场、露天采场、尾矿库、矿区专用道路、矿山工业场地、沉陷区、矸石场、矿山污染场地等的生态环境保护与治理恢复工作须满足《矿山生态环境保护与恢复治理技术规范（试行）》（HJ651-2013）要求。落实边开采、边保护、边复垦的要求，使新建、在建矿山损毁土地得到全面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cs="Times New Roman"/>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禁燃区内禁止销售、使用原煤等高污染燃料，现有燃用高污染燃料的设施应在规定期限内停止燃用高污染燃料，改用天然气、液化石油气、电或者其他清洁能源。其余按照《钦州市人民政府关于划定高污染燃料禁燃区的通告》要求实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restart"/>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ZH45070320007</w:t>
            </w:r>
          </w:p>
        </w:tc>
        <w:tc>
          <w:tcPr>
            <w:tcW w:w="1916" w:type="dxa"/>
            <w:vMerge w:val="restart"/>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钦北区其他重点管控单元</w:t>
            </w:r>
          </w:p>
        </w:tc>
        <w:tc>
          <w:tcPr>
            <w:tcW w:w="1617"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pStyle w:val="31"/>
              <w:numPr>
                <w:ilvl w:val="255"/>
                <w:numId w:val="0"/>
              </w:numPr>
              <w:spacing w:line="400" w:lineRule="exact"/>
            </w:pPr>
            <w:r>
              <w:t>1、入园项目必须符合国家、自治区产业政策、供地政策及园区产业定位。</w:t>
            </w:r>
          </w:p>
          <w:p>
            <w:pPr>
              <w:adjustRightInd w:val="0"/>
              <w:snapToGrid w:val="0"/>
              <w:rPr>
                <w:rFonts w:ascii="Times New Roman" w:hAnsi="Times New Roman" w:cs="Times New Roman"/>
                <w:szCs w:val="21"/>
              </w:rPr>
            </w:pPr>
            <w:r>
              <w:rPr>
                <w:rFonts w:ascii="Times New Roman" w:hAnsi="Times New Roman" w:cs="Times New Roman"/>
                <w:szCs w:val="21"/>
              </w:rPr>
              <w:t>2、规划产业园区应当依法依规进行审批。新建企业原则上均应建在产业园区。</w:t>
            </w:r>
          </w:p>
          <w:p>
            <w:pPr>
              <w:adjustRightInd w:val="0"/>
              <w:snapToGrid w:val="0"/>
              <w:rPr>
                <w:rFonts w:ascii="Times New Roman" w:hAnsi="Times New Roman" w:cs="Times New Roman"/>
                <w:szCs w:val="21"/>
              </w:rPr>
            </w:pPr>
            <w:r>
              <w:rPr>
                <w:rFonts w:ascii="Times New Roman" w:hAnsi="Times New Roman" w:cs="Times New Roman"/>
                <w:szCs w:val="21"/>
              </w:rPr>
              <w:t>3、居住用地周边严控布局潜在污染扰民和环境风险突出的建设项目。</w:t>
            </w:r>
            <w:r>
              <w:rPr>
                <w:rFonts w:ascii="Times New Roman" w:hAnsi="Times New Roman" w:cs="Times New Roman"/>
                <w:b/>
                <w:szCs w:val="21"/>
              </w:rPr>
              <w:t>禁止</w:t>
            </w:r>
            <w:r>
              <w:rPr>
                <w:rFonts w:ascii="Times New Roman" w:hAnsi="Times New Roman" w:cs="Times New Roman"/>
                <w:szCs w:val="21"/>
              </w:rPr>
              <w:t>在居民区和学校、医院、疗养院、养老院等单位周边新建、改建、扩建可能造成土壤污染的建设项目。</w:t>
            </w:r>
            <w:r>
              <w:rPr>
                <w:rFonts w:ascii="Times New Roman" w:hAnsi="Times New Roman" w:cs="Times New Roman"/>
                <w:b/>
                <w:szCs w:val="21"/>
              </w:rPr>
              <w:t>禁止</w:t>
            </w:r>
            <w:r>
              <w:rPr>
                <w:rFonts w:ascii="Times New Roman" w:hAnsi="Times New Roman" w:cs="Times New Roman"/>
                <w:szCs w:val="21"/>
              </w:rPr>
              <w:t>在人口聚居区域内新（改、扩）建涉重金属企业。</w:t>
            </w:r>
          </w:p>
          <w:p>
            <w:pPr>
              <w:adjustRightInd w:val="0"/>
              <w:snapToGrid w:val="0"/>
              <w:rPr>
                <w:rFonts w:ascii="Times New Roman" w:hAnsi="Times New Roman" w:cs="Times New Roman"/>
                <w:szCs w:val="21"/>
              </w:rPr>
            </w:pPr>
            <w:r>
              <w:rPr>
                <w:rFonts w:ascii="Times New Roman" w:hAnsi="Times New Roman" w:cs="Times New Roman"/>
                <w:szCs w:val="21"/>
              </w:rPr>
              <w:t>4、临近生态保护红线的工业企业，应采取有效措施，避免产生不利影响。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cs="Times New Roman"/>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1、规划产业园区建设应同步完善污水处理设施及管网建设；园区及园区企业主要污染物排放应控制在区域环境承载能力范围内，确保环境质量达标。</w:t>
            </w:r>
          </w:p>
          <w:p>
            <w:pPr>
              <w:adjustRightInd w:val="0"/>
              <w:snapToGrid w:val="0"/>
              <w:rPr>
                <w:rFonts w:ascii="Times New Roman" w:hAnsi="Times New Roman" w:cs="Times New Roman"/>
                <w:szCs w:val="21"/>
              </w:rPr>
            </w:pPr>
            <w:r>
              <w:rPr>
                <w:rFonts w:ascii="Times New Roman" w:hAnsi="Times New Roman" w:cs="Times New Roman"/>
                <w:szCs w:val="21"/>
              </w:rPr>
              <w:t>2、工业企业应当落实大气污染防治要求，采取有效措施，强化企业大气污染物排放精细化管理、无组织废气排放控制以及高效治污设施建设。</w:t>
            </w:r>
          </w:p>
          <w:p>
            <w:pPr>
              <w:adjustRightInd w:val="0"/>
              <w:snapToGrid w:val="0"/>
              <w:rPr>
                <w:rFonts w:ascii="Times New Roman" w:hAnsi="Times New Roman" w:cs="Times New Roman"/>
                <w:szCs w:val="21"/>
              </w:rPr>
            </w:pPr>
            <w:r>
              <w:rPr>
                <w:rFonts w:ascii="Times New Roman" w:hAnsi="Times New Roman" w:cs="Times New Roman"/>
                <w:szCs w:val="21"/>
              </w:rPr>
              <w:t>3、矿产资源勘查以及采选过程中排土场、露天采场、尾矿库、矿区专用道路、矿山工业场地、沉陷区、矸石场、矿山污染场地等的生态环境保护与治理恢复工作须满足《矿山生态环境保护与恢复治理技术规范（试行）》（HJ651-2013）要求。落实边开采、边保护、边复垦的要求，使新建、在建矿山损毁土地得到全面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cs="Times New Roman"/>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1、开展环境风险评估，制定突发环境事件应急预案并备案，配备应急能力和物资，建设环境应急队伍，并定期演练。完善区域应急联动机制。</w:t>
            </w:r>
          </w:p>
          <w:p>
            <w:pPr>
              <w:adjustRightInd w:val="0"/>
              <w:snapToGrid w:val="0"/>
              <w:rPr>
                <w:rFonts w:ascii="Times New Roman" w:hAnsi="Times New Roman" w:cs="Times New Roman"/>
                <w:szCs w:val="21"/>
              </w:rPr>
            </w:pPr>
            <w:r>
              <w:rPr>
                <w:rFonts w:ascii="Times New Roman" w:hAnsi="Times New Roman" w:cs="Times New Roman"/>
                <w:szCs w:val="21"/>
              </w:rPr>
              <w:t>2、土壤污染重点监管单位应当严格控制有毒有害物质排放，并按年度向所在地设区的市人民政府生态环境主管部门报告排放情况；建立土壤污染隐患排查制度，保证持续有效防止有毒有害物质渗漏、流失、扬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vMerge w:val="continue"/>
            <w:shd w:val="clear" w:color="auto" w:fill="auto"/>
            <w:vAlign w:val="center"/>
          </w:tcPr>
          <w:p>
            <w:pPr>
              <w:adjustRightInd w:val="0"/>
              <w:snapToGrid w:val="0"/>
              <w:rPr>
                <w:rFonts w:ascii="Times New Roman" w:hAnsi="Times New Roman" w:cs="Times New Roman"/>
                <w:szCs w:val="21"/>
              </w:rPr>
            </w:pPr>
          </w:p>
        </w:tc>
        <w:tc>
          <w:tcPr>
            <w:tcW w:w="1916" w:type="dxa"/>
            <w:vMerge w:val="continue"/>
            <w:shd w:val="clear" w:color="auto" w:fill="auto"/>
            <w:vAlign w:val="center"/>
          </w:tcPr>
          <w:p>
            <w:pPr>
              <w:adjustRightInd w:val="0"/>
              <w:snapToGrid w:val="0"/>
              <w:rPr>
                <w:rFonts w:ascii="Times New Roman" w:hAnsi="Times New Roman" w:cs="Times New Roman"/>
                <w:szCs w:val="21"/>
              </w:rPr>
            </w:pPr>
          </w:p>
        </w:tc>
        <w:tc>
          <w:tcPr>
            <w:tcW w:w="1617" w:type="dxa"/>
            <w:vMerge w:val="continue"/>
            <w:shd w:val="clear" w:color="auto" w:fill="auto"/>
            <w:vAlign w:val="center"/>
          </w:tcPr>
          <w:p>
            <w:pPr>
              <w:adjustRightInd w:val="0"/>
              <w:snapToGrid w:val="0"/>
              <w:rPr>
                <w:rFonts w:ascii="Times New Roman" w:hAnsi="Times New Roman" w:cs="Times New Roman"/>
                <w:szCs w:val="21"/>
              </w:rPr>
            </w:pP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禁燃区内禁止销售、使用原煤等高污染燃料，现有燃用高污染燃料的设施应在规定期限内停止燃用高污染燃料，改用天然气、液化石油气、电或者其他清洁能源。其余按照《钦州市人民政府关于划定高污染燃料禁燃区的通告》要求实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2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ZH45070330001</w:t>
            </w:r>
          </w:p>
        </w:tc>
        <w:tc>
          <w:tcPr>
            <w:tcW w:w="1916"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钦北区一般管控单元</w:t>
            </w:r>
          </w:p>
        </w:tc>
        <w:tc>
          <w:tcPr>
            <w:tcW w:w="161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一般管控单元</w:t>
            </w:r>
          </w:p>
        </w:tc>
        <w:tc>
          <w:tcPr>
            <w:tcW w:w="76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87"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永久基本农田一经划定，任何单位和个人不得擅自占用或改变用途。禁止任何单位和个人破坏永久基本农田耕作层。对永久基本农田实行严格保护，确保其面积不减少、土壤环境质量不下降，除法律规定的重点建设项目选址确实无法避让外，其他任何建设不得占用。</w:t>
            </w:r>
          </w:p>
          <w:p>
            <w:pPr>
              <w:adjustRightInd w:val="0"/>
              <w:snapToGrid w:val="0"/>
              <w:rPr>
                <w:rFonts w:ascii="Times New Roman" w:hAnsi="Times New Roman" w:cs="Times New Roman"/>
                <w:szCs w:val="21"/>
              </w:rPr>
            </w:pPr>
            <w:r>
              <w:rPr>
                <w:rFonts w:ascii="Times New Roman" w:hAnsi="Times New Roman" w:cs="Times New Roman"/>
                <w:szCs w:val="21"/>
              </w:rPr>
              <w:t>2、在永久基本农田集中区域，不得新建可能造成土壤污染的建设项目；已经建成的，应当限期关闭拆除。</w:t>
            </w:r>
          </w:p>
          <w:p>
            <w:pPr>
              <w:adjustRightInd w:val="0"/>
              <w:snapToGrid w:val="0"/>
              <w:rPr>
                <w:rFonts w:ascii="Times New Roman" w:hAnsi="Times New Roman" w:cs="Times New Roman"/>
                <w:szCs w:val="21"/>
              </w:rPr>
            </w:pPr>
            <w:r>
              <w:rPr>
                <w:rFonts w:ascii="Times New Roman" w:hAnsi="Times New Roman" w:cs="Times New Roman"/>
                <w:szCs w:val="21"/>
              </w:rPr>
              <w:t>3、禁止将重金属或者其他有毒有害物质含量超标的工业固体废物、生活垃圾或者污染土壤用于土地复垦。</w:t>
            </w:r>
          </w:p>
        </w:tc>
      </w:tr>
    </w:tbl>
    <w:p>
      <w:pPr>
        <w:widowControl/>
        <w:jc w:val="left"/>
        <w:rPr>
          <w:rFonts w:ascii="Times New Roman" w:hAnsi="Times New Roman" w:cs="Times New Roman"/>
          <w:b/>
          <w:bCs/>
          <w:sz w:val="32"/>
          <w:szCs w:val="32"/>
        </w:rPr>
      </w:pPr>
      <w:r>
        <w:rPr>
          <w:rFonts w:ascii="Times New Roman" w:hAnsi="Times New Roman" w:cs="Times New Roman"/>
        </w:rPr>
        <w:br w:type="page"/>
      </w:r>
    </w:p>
    <w:p>
      <w:pPr>
        <w:pStyle w:val="3"/>
        <w:spacing w:before="156" w:after="156"/>
      </w:pPr>
      <w:bookmarkStart w:id="24" w:name="_Toc24546"/>
      <w:r>
        <w:rPr>
          <w:rFonts w:hint="eastAsia"/>
        </w:rPr>
        <w:t>3</w:t>
      </w:r>
      <w:r>
        <w:tab/>
      </w:r>
      <w:r>
        <w:rPr>
          <w:rFonts w:hint="eastAsia"/>
        </w:rPr>
        <w:t>灵山县</w:t>
      </w:r>
      <w:bookmarkEnd w:id="24"/>
    </w:p>
    <w:p>
      <w:pPr>
        <w:adjustRightInd w:val="0"/>
        <w:snapToGrid w:val="0"/>
        <w:spacing w:line="300" w:lineRule="auto"/>
        <w:jc w:val="center"/>
        <w:outlineLvl w:val="3"/>
        <w:rPr>
          <w:rFonts w:ascii="Times New Roman" w:hAnsi="Times New Roman" w:eastAsia="黑体" w:cs="Times New Roman"/>
          <w:sz w:val="24"/>
          <w:szCs w:val="21"/>
        </w:rPr>
      </w:pPr>
      <w:bookmarkStart w:id="25" w:name="_Toc24647"/>
      <w:r>
        <w:rPr>
          <w:rFonts w:ascii="Times New Roman" w:hAnsi="Times New Roman" w:eastAsia="黑体" w:cs="Times New Roman"/>
          <w:sz w:val="28"/>
          <w:szCs w:val="28"/>
        </w:rPr>
        <w:t>表</w:t>
      </w:r>
      <w:r>
        <w:rPr>
          <w:rFonts w:hint="eastAsia" w:ascii="Times New Roman" w:hAnsi="Times New Roman" w:eastAsia="黑体" w:cs="Times New Roman"/>
          <w:sz w:val="28"/>
          <w:szCs w:val="28"/>
        </w:rPr>
        <w:t>3</w:t>
      </w:r>
      <w:r>
        <w:rPr>
          <w:rFonts w:ascii="Times New Roman" w:hAnsi="Times New Roman" w:eastAsia="黑体" w:cs="Times New Roman"/>
          <w:sz w:val="28"/>
          <w:szCs w:val="28"/>
        </w:rPr>
        <w:t xml:space="preserve">  钦州市灵山县</w:t>
      </w:r>
      <w:r>
        <w:rPr>
          <w:rFonts w:hint="eastAsia" w:ascii="Times New Roman" w:hAnsi="Times New Roman" w:eastAsia="黑体" w:cs="Times New Roman"/>
          <w:sz w:val="28"/>
          <w:szCs w:val="28"/>
        </w:rPr>
        <w:t>环境管控单元</w:t>
      </w:r>
      <w:r>
        <w:rPr>
          <w:rFonts w:ascii="Times New Roman" w:hAnsi="Times New Roman" w:eastAsia="黑体" w:cs="Times New Roman"/>
          <w:sz w:val="28"/>
          <w:szCs w:val="28"/>
        </w:rPr>
        <w:t>生态环境准入清单</w:t>
      </w:r>
      <w:bookmarkEnd w:id="25"/>
    </w:p>
    <w:tbl>
      <w:tblPr>
        <w:tblStyle w:val="18"/>
        <w:tblW w:w="15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984"/>
        <w:gridCol w:w="1531"/>
        <w:gridCol w:w="821"/>
        <w:gridCol w:w="8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1928" w:type="dxa"/>
            <w:shd w:val="clear" w:color="auto" w:fill="auto"/>
            <w:vAlign w:val="center"/>
          </w:tcPr>
          <w:p>
            <w:pPr>
              <w:adjustRightInd w:val="0"/>
              <w:snapToGrid w:val="0"/>
              <w:jc w:val="center"/>
              <w:rPr>
                <w:rFonts w:ascii="Times New Roman" w:hAnsi="Times New Roman" w:cs="Times New Roman"/>
                <w:b/>
                <w:szCs w:val="20"/>
              </w:rPr>
            </w:pPr>
            <w:r>
              <w:rPr>
                <w:rFonts w:ascii="Times New Roman" w:hAnsi="Times New Roman" w:cs="Times New Roman"/>
                <w:b/>
                <w:szCs w:val="20"/>
              </w:rPr>
              <w:t>环境管控单元编码</w:t>
            </w:r>
          </w:p>
        </w:tc>
        <w:tc>
          <w:tcPr>
            <w:tcW w:w="1984" w:type="dxa"/>
            <w:shd w:val="clear" w:color="auto" w:fill="auto"/>
            <w:vAlign w:val="center"/>
          </w:tcPr>
          <w:p>
            <w:pPr>
              <w:adjustRightInd w:val="0"/>
              <w:snapToGrid w:val="0"/>
              <w:jc w:val="center"/>
              <w:rPr>
                <w:rFonts w:ascii="Times New Roman" w:hAnsi="Times New Roman" w:cs="Times New Roman"/>
                <w:b/>
                <w:szCs w:val="20"/>
              </w:rPr>
            </w:pPr>
            <w:r>
              <w:rPr>
                <w:rFonts w:ascii="Times New Roman" w:hAnsi="Times New Roman" w:cs="Times New Roman"/>
                <w:b/>
                <w:szCs w:val="20"/>
              </w:rPr>
              <w:t>环境管控单元名称</w:t>
            </w:r>
          </w:p>
        </w:tc>
        <w:tc>
          <w:tcPr>
            <w:tcW w:w="1531" w:type="dxa"/>
            <w:shd w:val="clear" w:color="auto" w:fill="auto"/>
            <w:vAlign w:val="center"/>
          </w:tcPr>
          <w:p>
            <w:pPr>
              <w:adjustRightInd w:val="0"/>
              <w:snapToGrid w:val="0"/>
              <w:jc w:val="center"/>
              <w:rPr>
                <w:rFonts w:ascii="Times New Roman" w:hAnsi="Times New Roman" w:cs="Times New Roman"/>
                <w:b/>
                <w:szCs w:val="20"/>
              </w:rPr>
            </w:pPr>
            <w:r>
              <w:rPr>
                <w:rFonts w:ascii="Times New Roman" w:hAnsi="Times New Roman" w:cs="Times New Roman"/>
                <w:b/>
                <w:szCs w:val="20"/>
              </w:rPr>
              <w:t>管控单元类别</w:t>
            </w:r>
          </w:p>
        </w:tc>
        <w:tc>
          <w:tcPr>
            <w:tcW w:w="9735" w:type="dxa"/>
            <w:gridSpan w:val="2"/>
            <w:shd w:val="clear" w:color="auto" w:fill="auto"/>
            <w:vAlign w:val="center"/>
          </w:tcPr>
          <w:p>
            <w:pPr>
              <w:adjustRightInd w:val="0"/>
              <w:snapToGrid w:val="0"/>
              <w:jc w:val="center"/>
              <w:rPr>
                <w:rFonts w:ascii="Times New Roman" w:hAnsi="Times New Roman" w:cs="Times New Roman"/>
                <w:b/>
                <w:szCs w:val="20"/>
              </w:rPr>
            </w:pPr>
            <w:r>
              <w:rPr>
                <w:rFonts w:ascii="Times New Roman" w:hAnsi="Times New Roman" w:cs="Times New Roman"/>
                <w:b/>
                <w:szCs w:val="20"/>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28"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ZH45072110001</w:t>
            </w:r>
          </w:p>
        </w:tc>
        <w:tc>
          <w:tcPr>
            <w:tcW w:w="198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北部湾水源涵养生态保护红线</w:t>
            </w:r>
          </w:p>
        </w:tc>
        <w:tc>
          <w:tcPr>
            <w:tcW w:w="1531"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1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严格落实国家、自治区对生态保护红线及自然保护地的管控要求。</w:t>
            </w:r>
            <w:r>
              <w:rPr>
                <w:rFonts w:ascii="Times New Roman" w:hAnsi="Times New Roman" w:cs="Times New Roman"/>
                <w:szCs w:val="21"/>
              </w:rPr>
              <w:t>严禁不符合主体功能定位的各类开发活动，严禁任意改变用途，严格禁止任何单位和个人擅自占用和改变用地性质。</w:t>
            </w:r>
          </w:p>
          <w:p>
            <w:pPr>
              <w:adjustRightInd w:val="0"/>
              <w:snapToGrid w:val="0"/>
              <w:rPr>
                <w:rFonts w:ascii="Times New Roman" w:hAnsi="Times New Roman" w:cs="Times New Roman"/>
                <w:szCs w:val="21"/>
              </w:rPr>
            </w:pPr>
            <w:r>
              <w:rPr>
                <w:rFonts w:ascii="Times New Roman" w:hAnsi="Times New Roman" w:cs="Times New Roman"/>
                <w:szCs w:val="21"/>
              </w:rPr>
              <w:t>2、在符合现行法律法规前提下，除国家重大战略项目外，仅允许对生态功能不造成破坏的有限人为活动。</w:t>
            </w:r>
          </w:p>
          <w:p>
            <w:pPr>
              <w:adjustRightInd w:val="0"/>
              <w:snapToGrid w:val="0"/>
              <w:rPr>
                <w:rFonts w:ascii="Times New Roman" w:hAnsi="Times New Roman" w:cs="Times New Roman"/>
                <w:szCs w:val="21"/>
              </w:rPr>
            </w:pPr>
            <w:r>
              <w:rPr>
                <w:rFonts w:ascii="Times New Roman" w:hAnsi="Times New Roman" w:cs="Times New Roman"/>
                <w:szCs w:val="21"/>
              </w:rPr>
              <w:t>3、有限人为活动按照《中共中央办公厅 国务院办公厅印发＜关于在国土空间规划中统筹划定落实三条控制线的指导意见＞》和省级环境管控及准入要求清单进行。</w:t>
            </w:r>
          </w:p>
          <w:p>
            <w:pPr>
              <w:adjustRightInd w:val="0"/>
              <w:snapToGrid w:val="0"/>
              <w:rPr>
                <w:rFonts w:ascii="Times New Roman" w:hAnsi="Times New Roman" w:cs="Times New Roman"/>
                <w:szCs w:val="21"/>
              </w:rPr>
            </w:pPr>
            <w:r>
              <w:rPr>
                <w:rFonts w:ascii="Times New Roman" w:hAnsi="Times New Roman" w:cs="Times New Roman"/>
                <w:szCs w:val="21"/>
              </w:rPr>
              <w:t>4、饮用水水源保护区以及生态公益林、天然林还需执行国家、自治区以及市县相应法律法规要求。</w:t>
            </w:r>
          </w:p>
          <w:p>
            <w:pPr>
              <w:adjustRightInd w:val="0"/>
              <w:snapToGrid w:val="0"/>
              <w:rPr>
                <w:rFonts w:ascii="Times New Roman" w:hAnsi="Times New Roman" w:cs="Times New Roman"/>
              </w:rPr>
            </w:pPr>
            <w:r>
              <w:rPr>
                <w:rFonts w:ascii="Times New Roman" w:hAnsi="Times New Roman" w:cs="Times New Roman"/>
                <w:szCs w:val="21"/>
              </w:rPr>
              <w:t>5、《生态保护红线管理办法》出台后，按其规定执行。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928"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ZH45072110002</w:t>
            </w:r>
          </w:p>
        </w:tc>
        <w:tc>
          <w:tcPr>
            <w:tcW w:w="198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大步江饮用水水源保护区一般生态空间</w:t>
            </w:r>
          </w:p>
        </w:tc>
        <w:tc>
          <w:tcPr>
            <w:tcW w:w="1531"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14" w:type="dxa"/>
            <w:shd w:val="clear" w:color="auto" w:fill="auto"/>
            <w:vAlign w:val="center"/>
          </w:tcPr>
          <w:p>
            <w:pPr>
              <w:rPr>
                <w:rFonts w:ascii="Times New Roman" w:hAnsi="Times New Roman" w:cs="Times New Roman"/>
              </w:rPr>
            </w:pPr>
            <w:r>
              <w:rPr>
                <w:rFonts w:ascii="Times New Roman" w:hAnsi="Times New Roman" w:cs="Times New Roman"/>
              </w:rPr>
              <w:t>1、按照《饮用水水源保护区污染防治管理规定》《中华人民共和国水污染防治法》《广西壮族自治区饮用水水源保护条例》《广西壮族自治区水污染防治条例》等相关法律法规进行管理。</w:t>
            </w:r>
          </w:p>
          <w:p>
            <w:pPr>
              <w:adjustRightInd w:val="0"/>
              <w:snapToGrid w:val="0"/>
              <w:rPr>
                <w:rFonts w:ascii="Times New Roman" w:hAnsi="Times New Roman" w:cs="Times New Roman"/>
                <w:szCs w:val="21"/>
              </w:rPr>
            </w:pPr>
            <w:r>
              <w:rPr>
                <w:rFonts w:ascii="Times New Roman" w:hAnsi="Times New Roman" w:cs="Times New Roman"/>
              </w:rPr>
              <w:t>2、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7" w:hRule="atLeast"/>
        </w:trPr>
        <w:tc>
          <w:tcPr>
            <w:tcW w:w="1928"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ZH45072110003</w:t>
            </w:r>
          </w:p>
        </w:tc>
        <w:tc>
          <w:tcPr>
            <w:tcW w:w="198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灵东水库饮用水水源保护区一般生态空间</w:t>
            </w:r>
          </w:p>
        </w:tc>
        <w:tc>
          <w:tcPr>
            <w:tcW w:w="1531"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1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1、按照《饮用水水源保护区污染防治管理规定》《中华人民共和国水污染防治法》《广西壮族自治区饮用水水源保护条例》《广西壮族自治区水污染防治条例》等相关法律法规进行管理。</w:t>
            </w:r>
          </w:p>
          <w:p>
            <w:pPr>
              <w:adjustRightInd w:val="0"/>
              <w:snapToGrid w:val="0"/>
              <w:rPr>
                <w:rFonts w:ascii="Times New Roman" w:hAnsi="Times New Roman" w:cs="Times New Roman"/>
                <w:szCs w:val="21"/>
              </w:rPr>
            </w:pPr>
            <w:r>
              <w:rPr>
                <w:rFonts w:ascii="Times New Roman" w:hAnsi="Times New Roman" w:cs="Times New Roman"/>
                <w:szCs w:val="21"/>
              </w:rPr>
              <w:t>2、国家级公益林依据《国家级公益林管理办法》（林资发〔2017〕34号）进行管理，严格控制勘查、开采矿藏和工程建设使用国家级公益林地。确需使用的，严格按照《建设项目使用林地审核审批管理办法》有关规定办理使用林地手续。涉及林木采伐的，按相关规定依法办理林木采伐手续。经审核审批同意使用的国家级公益林地，可按规定实行占补平衡。一级国家级公益林原则上不得开展生产经营活动，严禁打枝、采脂、割漆、剥树皮、掘根等行为。二级国家级公益林在不影响整体森林生态系统功能发挥的前提下，可以按照相关技术规程的规定开展抚育和更新性质的采伐。在不破坏森林植被的前提下，可以合理利用其林地资源，适度开展林下种植养殖和森林游憩等非木质资源开发与利用，科学发展林下经济。</w:t>
            </w:r>
          </w:p>
          <w:p>
            <w:pPr>
              <w:adjustRightInd w:val="0"/>
              <w:snapToGrid w:val="0"/>
              <w:rPr>
                <w:rFonts w:ascii="Times New Roman" w:hAnsi="Times New Roman" w:cs="Times New Roman"/>
                <w:szCs w:val="21"/>
              </w:rPr>
            </w:pPr>
            <w:r>
              <w:rPr>
                <w:rFonts w:ascii="Times New Roman" w:hAnsi="Times New Roman" w:cs="Times New Roman"/>
                <w:szCs w:val="21"/>
              </w:rPr>
              <w:t>3、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928" w:type="dxa"/>
            <w:vAlign w:val="center"/>
          </w:tcPr>
          <w:p>
            <w:pPr>
              <w:widowControl/>
              <w:adjustRightInd w:val="0"/>
              <w:snapToGrid w:val="0"/>
              <w:jc w:val="left"/>
              <w:rPr>
                <w:rFonts w:ascii="Times New Roman" w:hAnsi="Times New Roman" w:cs="Times New Roman"/>
                <w:kern w:val="0"/>
                <w:szCs w:val="21"/>
              </w:rPr>
            </w:pPr>
            <w:r>
              <w:rPr>
                <w:rFonts w:ascii="Times New Roman" w:hAnsi="Times New Roman" w:cs="Times New Roman"/>
                <w:szCs w:val="21"/>
              </w:rPr>
              <w:t>ZH45072110004</w:t>
            </w:r>
          </w:p>
        </w:tc>
        <w:tc>
          <w:tcPr>
            <w:tcW w:w="1984" w:type="dxa"/>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牛皮鞑水库饮用水水源保护区一般生态空间</w:t>
            </w:r>
          </w:p>
        </w:tc>
        <w:tc>
          <w:tcPr>
            <w:tcW w:w="1531"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1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1、按照《饮用水水源保护区污染防治管理规定》《中华人民共和国水污染防治法》《广西壮族自治区饮用水水源保护条例》《广西壮族自治区水污染防治条例》等相关法律法规进行管理。</w:t>
            </w:r>
          </w:p>
          <w:p>
            <w:pPr>
              <w:adjustRightInd w:val="0"/>
              <w:snapToGrid w:val="0"/>
              <w:rPr>
                <w:rFonts w:ascii="Times New Roman" w:hAnsi="Times New Roman" w:cs="Times New Roman"/>
                <w:szCs w:val="21"/>
              </w:rPr>
            </w:pPr>
            <w:r>
              <w:rPr>
                <w:rFonts w:ascii="Times New Roman" w:hAnsi="Times New Roman" w:cs="Times New Roman"/>
                <w:szCs w:val="21"/>
              </w:rPr>
              <w:t>2、国家级公益林依据《国家级公益林管理办法》（林资发〔2017〕34号）进行管理，严格控制勘查、开采矿藏和工程建设使用国家级公益林地。确需使用的，严格按照《建设项目使用林地审核审批管理办法》有关规定办理使用林地手续。涉及林木采伐的，按相关规定依法办理林木采伐手续。经审核审批同意使用的国家级公益林地，可按规定实行占补平衡。一级国家级公益林原则上不得开展生产经营活动，严禁打枝、采脂、割漆、剥树皮、掘根等行为。二级国家级公益林在不影响整体森林生态系统功能发挥的前提下，可以按照相关技术规程的规定开展抚育和更新性质的采伐。在不破坏森林植被的前提下，可以合理利用其林地资源，适度开展林下种植养殖和森林游憩等非木质资源开发与利用，科学发展林下经济。</w:t>
            </w:r>
          </w:p>
          <w:p>
            <w:pPr>
              <w:adjustRightInd w:val="0"/>
              <w:snapToGrid w:val="0"/>
              <w:rPr>
                <w:rFonts w:ascii="Times New Roman" w:hAnsi="Times New Roman" w:cs="Times New Roman"/>
                <w:szCs w:val="21"/>
              </w:rPr>
            </w:pPr>
            <w:r>
              <w:rPr>
                <w:rFonts w:ascii="Times New Roman" w:hAnsi="Times New Roman" w:cs="Times New Roman"/>
                <w:szCs w:val="21"/>
              </w:rPr>
              <w:t>3、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928" w:type="dxa"/>
            <w:vAlign w:val="center"/>
          </w:tcPr>
          <w:p>
            <w:pPr>
              <w:adjustRightInd w:val="0"/>
              <w:snapToGrid w:val="0"/>
              <w:rPr>
                <w:rFonts w:ascii="Times New Roman" w:hAnsi="Times New Roman" w:eastAsia="宋体" w:cs="Times New Roman"/>
                <w:szCs w:val="21"/>
              </w:rPr>
            </w:pPr>
            <w:r>
              <w:rPr>
                <w:rFonts w:ascii="Times New Roman" w:hAnsi="Times New Roman" w:cs="Times New Roman"/>
                <w:szCs w:val="21"/>
              </w:rPr>
              <w:t>ZH45072110005</w:t>
            </w:r>
          </w:p>
        </w:tc>
        <w:tc>
          <w:tcPr>
            <w:tcW w:w="1984" w:type="dxa"/>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灵山县其他优先保护单元</w:t>
            </w:r>
          </w:p>
        </w:tc>
        <w:tc>
          <w:tcPr>
            <w:tcW w:w="1531"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1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1、除符合国土空间规划建设和布局要求，以及市级以上矿产资源总体规划、能源开发利用规划、线性工程规划外，原则上按限制开发区域的要求进行管理。</w:t>
            </w:r>
          </w:p>
          <w:p>
            <w:pPr>
              <w:adjustRightInd w:val="0"/>
              <w:snapToGrid w:val="0"/>
              <w:rPr>
                <w:rFonts w:ascii="Times New Roman" w:hAnsi="Times New Roman" w:cs="Times New Roman"/>
                <w:szCs w:val="21"/>
              </w:rPr>
            </w:pPr>
            <w:r>
              <w:rPr>
                <w:rFonts w:ascii="Times New Roman" w:hAnsi="Times New Roman" w:cs="Times New Roman"/>
                <w:szCs w:val="21"/>
              </w:rPr>
              <w:t>2、矿产资源开发活动、新能源建设项目以及线性工程项目等要符合法律法规以及主体功能区规划、生态功能区划、环境保护总体规划、行业规划等规划要求，不得破坏生态、降低环境质量。要优化项目选址布局，严格控制开采量和开采区域，减少对生态空间的占用，不影响区域主导生态功能。要采取更加严格和有效的预防和保护措施，避免和减轻开发活动造成的生态破坏和环境污染。要严格落实项目环评的跟踪监测计划，项目开采（开工）、闭矿、跟踪监测要及时向所在地生态环境部门进行报备。加强矿山开采项目及其闭矿的环保督察，开展矿山区域生态环境质量飞行抽检。乡村振兴项目建设的审批简化和豁免要符合有关规定，不得影响区域主导生态功能、降低区域生态环境质量。</w:t>
            </w:r>
          </w:p>
          <w:p>
            <w:pPr>
              <w:rPr>
                <w:rFonts w:ascii="Times New Roman" w:hAnsi="Times New Roman" w:cs="Times New Roman"/>
                <w:szCs w:val="21"/>
              </w:rPr>
            </w:pPr>
            <w:r>
              <w:rPr>
                <w:rFonts w:ascii="Times New Roman" w:hAnsi="Times New Roman" w:cs="Times New Roman"/>
                <w:szCs w:val="21"/>
              </w:rPr>
              <w:t>3、生物多样性维护功能（极）重要区内禁止滥捕、乱采、乱猎野生动植物。保护自然生态系统与重要物种栖息地，禁止无序采矿、毁林开荒、湿地和草地开垦等各种损害栖息地的经济社会活动和生产方式。防止生态建设导致栖息环境的改变。加强对外来物种入侵的控制，禁止在生物多样性保护功能区引进外来物种。加强生物多样性资源调查与监测，保护和修复自然生态系统和重要物种栖息地，实施生物多样性保护工程。</w:t>
            </w:r>
          </w:p>
          <w:p>
            <w:pPr>
              <w:rPr>
                <w:rFonts w:ascii="Times New Roman" w:hAnsi="Times New Roman" w:cs="Times New Roman"/>
                <w:szCs w:val="21"/>
              </w:rPr>
            </w:pPr>
            <w:r>
              <w:rPr>
                <w:rFonts w:ascii="Times New Roman" w:hAnsi="Times New Roman" w:cs="Times New Roman"/>
                <w:szCs w:val="21"/>
              </w:rPr>
              <w:t>4、水源涵养功能（极）重要区内严格保护具有水源涵养功能的自然植被，禁止过度放牧、无序采矿、毁林开荒，限制或禁止湿地和草地开垦等损害生态系统水源涵养功能的活动。加强生态公益林改造和建设，通过封育恢复自然植被，促使其逐步向常绿阔叶林演化，提高水源涵养的功能；林产业向合理利用与保护建设相结合的生态型林业方向发展，保持森林生长与采伐利用的动态平衡，兼顾生态效益和经济效益，逐步恢复和改善地力；加强水土保持。</w:t>
            </w:r>
          </w:p>
          <w:p>
            <w:pPr>
              <w:rPr>
                <w:rFonts w:ascii="Times New Roman" w:hAnsi="Times New Roman" w:cs="Times New Roman"/>
                <w:szCs w:val="21"/>
              </w:rPr>
            </w:pPr>
            <w:r>
              <w:rPr>
                <w:rFonts w:ascii="Times New Roman" w:hAnsi="Times New Roman" w:cs="Times New Roman"/>
                <w:szCs w:val="21"/>
              </w:rPr>
              <w:t>5、依据《国家级公益林管理办法》（林资发〔2017〕34号）进行管理，严格控制勘查、开采矿藏和工程建设使用国家级公益林地。确需使用的，严格按照《建设项目使用林地审核审批管理办法》有关规定办理使用林地手续。涉及林木采伐的，按相关规定依法办理林木采伐手续。经审核审批同意使用的国家级公益林地，可按规定实行占补平衡。一级国家级公益林原则上不得开展生产经营活动，严禁打枝、采脂、割漆、剥树皮、掘根等行为。二级国家级公益林在不影响整体森林生态系统功能发挥的前提下，可以按照相关技术规程的规定开展抚育和更新性质的采伐。在不破坏森林植被的前提下，可以合理利用其林地资源，适度开展林下种植养殖和森林游憩等非木质资源开发与利用，科学发展林下经济。</w:t>
            </w:r>
          </w:p>
          <w:p>
            <w:pPr>
              <w:adjustRightInd w:val="0"/>
              <w:snapToGrid w:val="0"/>
              <w:rPr>
                <w:rFonts w:ascii="Times New Roman" w:hAnsi="Times New Roman" w:cs="Times New Roman"/>
                <w:szCs w:val="21"/>
              </w:rPr>
            </w:pPr>
            <w:r>
              <w:rPr>
                <w:rFonts w:ascii="Times New Roman" w:hAnsi="Times New Roman" w:cs="Times New Roman"/>
                <w:szCs w:val="21"/>
              </w:rPr>
              <w:t>6、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p>
          <w:p>
            <w:pPr>
              <w:adjustRightInd w:val="0"/>
              <w:snapToGrid w:val="0"/>
              <w:rPr>
                <w:rFonts w:ascii="Times New Roman" w:hAnsi="Times New Roman" w:cs="Times New Roman"/>
                <w:szCs w:val="21"/>
              </w:rPr>
            </w:pPr>
            <w:r>
              <w:rPr>
                <w:rFonts w:ascii="Times New Roman" w:hAnsi="Times New Roman" w:cs="Times New Roman"/>
                <w:szCs w:val="21"/>
              </w:rPr>
              <w:t>7、源头水区严格控制区域开发强度，禁止建设水污染较大、水环境风险较高的项目。严禁水功能在Ⅱ类以上河流设置排污口，管控单元内工业污染物排放总量不得增加。现有的不符合保护要求的设施或项目限期退出或关停。严控可能造成水土流失的生产建设活动，建设单位在生产建设活动中造成水土流失的，应采取水土流失预防和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28"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ZH45072120001</w:t>
            </w:r>
          </w:p>
        </w:tc>
        <w:tc>
          <w:tcPr>
            <w:tcW w:w="1984" w:type="dxa"/>
            <w:vMerge w:val="restart"/>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灵山工业区重点管控单元</w:t>
            </w:r>
          </w:p>
        </w:tc>
        <w:tc>
          <w:tcPr>
            <w:tcW w:w="1531"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14" w:type="dxa"/>
            <w:shd w:val="clear" w:color="auto" w:fill="auto"/>
            <w:vAlign w:val="center"/>
          </w:tcPr>
          <w:p>
            <w:pPr>
              <w:pStyle w:val="31"/>
            </w:pPr>
            <w:r>
              <w:t>1、居住用地周边严控布局潜在污染扰民和环境风险突出的建设项目。</w:t>
            </w:r>
          </w:p>
          <w:p>
            <w:pPr>
              <w:pStyle w:val="31"/>
              <w:rPr>
                <w:rFonts w:eastAsiaTheme="minorEastAsia"/>
                <w:szCs w:val="24"/>
              </w:rPr>
            </w:pPr>
            <w:r>
              <w:rPr>
                <w:rFonts w:eastAsiaTheme="minorEastAsia"/>
                <w:szCs w:val="24"/>
              </w:rPr>
              <w:t>2、新建大气污染物排放的工业项目，原则上应当进入工业园区或者工业集聚区；加快布局分散的企业向园区集中。</w:t>
            </w:r>
          </w:p>
          <w:p>
            <w:pPr>
              <w:adjustRightInd w:val="0"/>
              <w:snapToGrid w:val="0"/>
              <w:rPr>
                <w:rFonts w:ascii="Times New Roman" w:hAnsi="Times New Roman" w:cs="Times New Roman"/>
                <w:szCs w:val="21"/>
              </w:rPr>
            </w:pPr>
            <w:r>
              <w:rPr>
                <w:rFonts w:ascii="Times New Roman" w:hAnsi="Times New Roman" w:cs="Times New Roman"/>
              </w:rPr>
              <w:t>3、产业园区管理机构应将规划环评结论及审查意见落实到规划中。负责统筹区域内生态环境基础设施建设，不得引入不符合规划环评结论及审查意见的项目入园。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28" w:type="dxa"/>
            <w:vMerge w:val="continue"/>
            <w:vAlign w:val="center"/>
          </w:tcPr>
          <w:p>
            <w:pPr>
              <w:adjustRightInd w:val="0"/>
              <w:snapToGrid w:val="0"/>
              <w:rPr>
                <w:rFonts w:ascii="Times New Roman" w:hAnsi="Times New Roman" w:cs="Times New Roman"/>
                <w:szCs w:val="21"/>
              </w:rPr>
            </w:pPr>
          </w:p>
        </w:tc>
        <w:tc>
          <w:tcPr>
            <w:tcW w:w="1984" w:type="dxa"/>
            <w:vMerge w:val="continue"/>
            <w:vAlign w:val="center"/>
          </w:tcPr>
          <w:p>
            <w:pPr>
              <w:adjustRightInd w:val="0"/>
              <w:snapToGrid w:val="0"/>
              <w:rPr>
                <w:rFonts w:ascii="Times New Roman" w:hAnsi="Times New Roman" w:cs="Times New Roman"/>
                <w:szCs w:val="21"/>
              </w:rPr>
            </w:pPr>
          </w:p>
        </w:tc>
        <w:tc>
          <w:tcPr>
            <w:tcW w:w="1531" w:type="dxa"/>
            <w:vMerge w:val="continue"/>
            <w:vAlign w:val="center"/>
          </w:tcPr>
          <w:p>
            <w:pPr>
              <w:adjustRightInd w:val="0"/>
              <w:snapToGrid w:val="0"/>
              <w:rPr>
                <w:rFonts w:ascii="Times New Roman" w:hAnsi="Times New Roman" w:cs="Times New Roman"/>
                <w:szCs w:val="21"/>
              </w:rPr>
            </w:pP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14" w:type="dxa"/>
            <w:shd w:val="clear" w:color="auto" w:fill="auto"/>
            <w:vAlign w:val="center"/>
          </w:tcPr>
          <w:p>
            <w:pPr>
              <w:rPr>
                <w:rFonts w:ascii="Times New Roman" w:hAnsi="Times New Roman" w:cs="Times New Roman"/>
              </w:rPr>
            </w:pPr>
            <w:r>
              <w:rPr>
                <w:rFonts w:ascii="Times New Roman" w:hAnsi="Times New Roman" w:cs="Times New Roman"/>
              </w:rPr>
              <w:t>1、深化园区工业污染治理，持续推进工业污染源全面达标排放，开展烟气高效脱硫脱硝、除尘改造。推进各类园区技术、工艺、设备等生态化、循环化改造，积极推广园区集中供热。强化园区堆场扬尘控制。推动重点行业VOCs的排放管控，加强VOCs排放企业源头控制。</w:t>
            </w:r>
            <w:r>
              <w:rPr>
                <w:rFonts w:ascii="Times New Roman" w:hAnsi="Times New Roman" w:cs="Times New Roman"/>
                <w:szCs w:val="21"/>
              </w:rPr>
              <w:t>强化工业企业无组织排放管理。</w:t>
            </w:r>
          </w:p>
          <w:p>
            <w:pPr>
              <w:adjustRightInd w:val="0"/>
              <w:snapToGrid w:val="0"/>
              <w:rPr>
                <w:rFonts w:ascii="Times New Roman" w:hAnsi="Times New Roman" w:cs="Times New Roman"/>
                <w:szCs w:val="21"/>
              </w:rPr>
            </w:pPr>
            <w:r>
              <w:rPr>
                <w:rFonts w:ascii="Times New Roman" w:hAnsi="Times New Roman" w:cs="Times New Roman"/>
                <w:szCs w:val="21"/>
              </w:rPr>
              <w:t>2、逐步完成工业集聚区集中式污水处理设施建设，确保已建污水处理设施稳定运行及达标排放。园区集中式污水处理设施总排口安装自动监控系统、视频监控系统，并与生态环境主管部门联网。按照“清污分流、雨污分流”原则，实施废水分类收集、分质处理。</w:t>
            </w:r>
          </w:p>
          <w:p>
            <w:pPr>
              <w:adjustRightInd w:val="0"/>
              <w:snapToGrid w:val="0"/>
              <w:rPr>
                <w:rFonts w:ascii="Times New Roman" w:hAnsi="Times New Roman" w:cs="Times New Roman"/>
                <w:szCs w:val="21"/>
              </w:rPr>
            </w:pPr>
            <w:r>
              <w:rPr>
                <w:rFonts w:ascii="Times New Roman" w:hAnsi="Times New Roman" w:cs="Times New Roman"/>
                <w:szCs w:val="21"/>
              </w:rPr>
              <w:t>3、园区及园区企业排放水污染物，要满足国家或者地方规定的水污染物排放标准和重点水污染物排放总量控制指标。直接外排水环境的，执行国家或者地方规定的标准要求；经城镇污水集中处理设施处理后排放的，执行市政部门管理要求；经园区污水集中处理设施处理后排放的，执行园区管理部门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28" w:type="dxa"/>
            <w:vMerge w:val="continue"/>
            <w:vAlign w:val="center"/>
          </w:tcPr>
          <w:p>
            <w:pPr>
              <w:adjustRightInd w:val="0"/>
              <w:snapToGrid w:val="0"/>
              <w:rPr>
                <w:rFonts w:ascii="Times New Roman" w:hAnsi="Times New Roman" w:cs="Times New Roman"/>
                <w:szCs w:val="21"/>
              </w:rPr>
            </w:pPr>
          </w:p>
        </w:tc>
        <w:tc>
          <w:tcPr>
            <w:tcW w:w="1984" w:type="dxa"/>
            <w:vMerge w:val="continue"/>
            <w:vAlign w:val="center"/>
          </w:tcPr>
          <w:p>
            <w:pPr>
              <w:adjustRightInd w:val="0"/>
              <w:snapToGrid w:val="0"/>
              <w:rPr>
                <w:rFonts w:ascii="Times New Roman" w:hAnsi="Times New Roman" w:cs="Times New Roman"/>
                <w:szCs w:val="21"/>
              </w:rPr>
            </w:pPr>
          </w:p>
        </w:tc>
        <w:tc>
          <w:tcPr>
            <w:tcW w:w="1531" w:type="dxa"/>
            <w:vMerge w:val="continue"/>
            <w:vAlign w:val="center"/>
          </w:tcPr>
          <w:p>
            <w:pPr>
              <w:adjustRightInd w:val="0"/>
              <w:snapToGrid w:val="0"/>
              <w:rPr>
                <w:rFonts w:ascii="Times New Roman" w:hAnsi="Times New Roman" w:cs="Times New Roman"/>
                <w:szCs w:val="21"/>
              </w:rPr>
            </w:pP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1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开展环境风险评估，制定突发环境事件应急预案并备案，配备应急能力和物资，建设环境应急队伍，并定期演练。企业、园区与地方人民政府环境应急预案应当有机衔接。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28" w:type="dxa"/>
            <w:vMerge w:val="continue"/>
            <w:vAlign w:val="center"/>
          </w:tcPr>
          <w:p>
            <w:pPr>
              <w:adjustRightInd w:val="0"/>
              <w:snapToGrid w:val="0"/>
              <w:rPr>
                <w:rFonts w:ascii="Times New Roman" w:hAnsi="Times New Roman" w:cs="Times New Roman"/>
                <w:szCs w:val="21"/>
              </w:rPr>
            </w:pPr>
          </w:p>
        </w:tc>
        <w:tc>
          <w:tcPr>
            <w:tcW w:w="1984" w:type="dxa"/>
            <w:vMerge w:val="continue"/>
            <w:vAlign w:val="center"/>
          </w:tcPr>
          <w:p>
            <w:pPr>
              <w:adjustRightInd w:val="0"/>
              <w:snapToGrid w:val="0"/>
              <w:rPr>
                <w:rFonts w:ascii="Times New Roman" w:hAnsi="Times New Roman" w:cs="Times New Roman"/>
                <w:szCs w:val="21"/>
              </w:rPr>
            </w:pPr>
          </w:p>
        </w:tc>
        <w:tc>
          <w:tcPr>
            <w:tcW w:w="1531" w:type="dxa"/>
            <w:vMerge w:val="continue"/>
            <w:vAlign w:val="center"/>
          </w:tcPr>
          <w:p>
            <w:pPr>
              <w:adjustRightInd w:val="0"/>
              <w:snapToGrid w:val="0"/>
              <w:rPr>
                <w:rFonts w:ascii="Times New Roman" w:hAnsi="Times New Roman" w:cs="Times New Roman"/>
                <w:szCs w:val="21"/>
              </w:rPr>
            </w:pP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14" w:type="dxa"/>
            <w:shd w:val="clear" w:color="auto" w:fill="auto"/>
            <w:vAlign w:val="center"/>
          </w:tcPr>
          <w:p>
            <w:pPr>
              <w:pStyle w:val="31"/>
              <w:rPr>
                <w:kern w:val="0"/>
              </w:rPr>
            </w:pPr>
            <w:r>
              <w:rPr>
                <w:kern w:val="0"/>
              </w:rPr>
              <w:t>1、提高工业用水循环利用率，减少工业新鲜水用量，提高企业中水回用率。</w:t>
            </w:r>
          </w:p>
          <w:p>
            <w:pPr>
              <w:pStyle w:val="31"/>
            </w:pPr>
            <w:r>
              <w:rPr>
                <w:kern w:val="0"/>
              </w:rPr>
              <w:t>2、推进区域土地节约集约利用，优先保障区域主导产业发展用地。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28"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ZH45072120002</w:t>
            </w:r>
          </w:p>
        </w:tc>
        <w:tc>
          <w:tcPr>
            <w:tcW w:w="1984" w:type="dxa"/>
            <w:vMerge w:val="restart"/>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灵山县城镇空间重点管控单元</w:t>
            </w:r>
          </w:p>
        </w:tc>
        <w:tc>
          <w:tcPr>
            <w:tcW w:w="1531"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14" w:type="dxa"/>
            <w:shd w:val="clear" w:color="auto" w:fill="auto"/>
            <w:vAlign w:val="center"/>
          </w:tcPr>
          <w:p>
            <w:pPr>
              <w:pStyle w:val="31"/>
              <w:rPr>
                <w:rFonts w:eastAsiaTheme="minorEastAsia"/>
              </w:rPr>
            </w:pPr>
            <w:r>
              <w:rPr>
                <w:rFonts w:eastAsiaTheme="minorEastAsia"/>
              </w:rPr>
              <w:t>1、入园项目必须符合国家、自治区产业政策、供地政策及园区产业定位。</w:t>
            </w:r>
          </w:p>
          <w:p>
            <w:pPr>
              <w:adjustRightInd w:val="0"/>
              <w:snapToGrid w:val="0"/>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在城市建成区内，禁止新建、改建、扩建产生恶臭气体的项目，禁止贮存、加工、制造或者使用产生恶臭气体的物质；公共服务设施垃圾转运站项目可按《生活垃圾转运站技术规范》（CJJ/T47-2016）实施。</w:t>
            </w:r>
          </w:p>
          <w:p>
            <w:pPr>
              <w:adjustRightInd w:val="0"/>
              <w:snapToGrid w:val="0"/>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城市建成区内的钢铁、石油、化工、有色金属、水泥、平板玻璃、建筑陶瓷、砖瓦等行业中的高排放、高污染项目，应当逐步进行搬迁、改造或者转型、退出。</w:t>
            </w:r>
          </w:p>
          <w:p>
            <w:pPr>
              <w:adjustRightInd w:val="0"/>
              <w:snapToGrid w:val="0"/>
              <w:rPr>
                <w:rFonts w:ascii="Times New Roman" w:hAnsi="Times New Roman" w:cs="Times New Roman"/>
                <w:szCs w:val="21"/>
              </w:rPr>
            </w:pPr>
            <w:r>
              <w:rPr>
                <w:rFonts w:ascii="Times New Roman" w:hAnsi="Times New Roman" w:cs="Times New Roman"/>
                <w:szCs w:val="21"/>
              </w:rPr>
              <w:t>4、城市市区、镇和村庄居民区、文化教育科学研究区等人口集中区域</w:t>
            </w:r>
            <w:r>
              <w:rPr>
                <w:rFonts w:ascii="Times New Roman" w:hAnsi="Times New Roman" w:cs="Times New Roman"/>
                <w:b/>
                <w:szCs w:val="21"/>
              </w:rPr>
              <w:t>禁止</w:t>
            </w:r>
            <w:r>
              <w:rPr>
                <w:rFonts w:ascii="Times New Roman" w:hAnsi="Times New Roman" w:cs="Times New Roman"/>
                <w:szCs w:val="21"/>
              </w:rPr>
              <w:t>设置畜禽养殖场、养殖小区。</w:t>
            </w:r>
          </w:p>
          <w:p>
            <w:pPr>
              <w:adjustRightInd w:val="0"/>
              <w:snapToGrid w:val="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b/>
                <w:szCs w:val="21"/>
              </w:rPr>
              <w:t>禁止</w:t>
            </w:r>
            <w:r>
              <w:rPr>
                <w:rFonts w:ascii="Times New Roman" w:hAnsi="Times New Roman" w:cs="Times New Roman"/>
                <w:szCs w:val="21"/>
              </w:rPr>
              <w:t>在居民区和学校、医院、疗养院、养老院等单位周边新建、改建、扩建可能造成土壤污染的建设项目。</w:t>
            </w:r>
            <w:r>
              <w:rPr>
                <w:rFonts w:ascii="Times New Roman" w:hAnsi="Times New Roman" w:cs="Times New Roman"/>
                <w:b/>
                <w:szCs w:val="21"/>
              </w:rPr>
              <w:t>禁止</w:t>
            </w:r>
            <w:r>
              <w:rPr>
                <w:rFonts w:ascii="Times New Roman" w:hAnsi="Times New Roman" w:cs="Times New Roman"/>
                <w:szCs w:val="21"/>
              </w:rPr>
              <w:t>在人口聚居区域内新（改、扩）建涉重金属企业。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28" w:type="dxa"/>
            <w:vMerge w:val="continue"/>
            <w:vAlign w:val="center"/>
          </w:tcPr>
          <w:p>
            <w:pPr>
              <w:adjustRightInd w:val="0"/>
              <w:snapToGrid w:val="0"/>
              <w:rPr>
                <w:rFonts w:ascii="Times New Roman" w:hAnsi="Times New Roman" w:cs="Times New Roman"/>
                <w:szCs w:val="21"/>
              </w:rPr>
            </w:pPr>
          </w:p>
        </w:tc>
        <w:tc>
          <w:tcPr>
            <w:tcW w:w="1984" w:type="dxa"/>
            <w:vMerge w:val="continue"/>
            <w:vAlign w:val="center"/>
          </w:tcPr>
          <w:p>
            <w:pPr>
              <w:adjustRightInd w:val="0"/>
              <w:snapToGrid w:val="0"/>
              <w:rPr>
                <w:rFonts w:ascii="Times New Roman" w:hAnsi="Times New Roman" w:cs="Times New Roman"/>
                <w:szCs w:val="21"/>
              </w:rPr>
            </w:pPr>
          </w:p>
        </w:tc>
        <w:tc>
          <w:tcPr>
            <w:tcW w:w="1531" w:type="dxa"/>
            <w:vMerge w:val="continue"/>
            <w:vAlign w:val="center"/>
          </w:tcPr>
          <w:p>
            <w:pPr>
              <w:adjustRightInd w:val="0"/>
              <w:snapToGrid w:val="0"/>
              <w:rPr>
                <w:rFonts w:ascii="Times New Roman" w:hAnsi="Times New Roman" w:cs="Times New Roman"/>
                <w:szCs w:val="21"/>
              </w:rPr>
            </w:pP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14" w:type="dxa"/>
            <w:shd w:val="clear" w:color="auto" w:fill="auto"/>
            <w:vAlign w:val="center"/>
          </w:tcPr>
          <w:p>
            <w:pPr>
              <w:pStyle w:val="31"/>
              <w:numPr>
                <w:ilvl w:val="255"/>
                <w:numId w:val="0"/>
              </w:numPr>
              <w:rPr>
                <w:rFonts w:eastAsiaTheme="minorEastAsia"/>
              </w:rPr>
            </w:pPr>
            <w:r>
              <w:rPr>
                <w:rFonts w:eastAsiaTheme="minorEastAsia"/>
              </w:rPr>
              <w:t>1、加大燃煤小锅炉淘汰力度。依法依规加快淘汰老旧柴油货车。严格控制施工和道路扬尘污染。禁止露天焚烧产生有毒有害烟尘和恶臭气体的物质。鼓励建筑装修、汽修喷涂作业、干洗等行业，使用低毒、低挥发性溶剂。</w:t>
            </w:r>
          </w:p>
          <w:p>
            <w:pPr>
              <w:pStyle w:val="31"/>
              <w:numPr>
                <w:ilvl w:val="255"/>
                <w:numId w:val="0"/>
              </w:numPr>
              <w:rPr>
                <w:rFonts w:eastAsiaTheme="minorEastAsia"/>
              </w:rPr>
            </w:pPr>
            <w:r>
              <w:rPr>
                <w:rFonts w:eastAsiaTheme="minorEastAsia"/>
              </w:rPr>
              <w:t>2、规划产业园区建设应同步完善污水处理设施及管网建设；园区及园区企业主要污染物排放应控制在区域环境承载能力范围内，确保环境质量达标。</w:t>
            </w:r>
          </w:p>
          <w:p>
            <w:pPr>
              <w:pStyle w:val="31"/>
              <w:rPr>
                <w:rFonts w:eastAsiaTheme="minorEastAsia"/>
              </w:rPr>
            </w:pPr>
            <w:r>
              <w:rPr>
                <w:rFonts w:eastAsiaTheme="minorEastAsia"/>
              </w:rPr>
              <w:t>3、城市建成区基本消除生活污水直排口，有效杜绝污水直排水体。提高污水处理能力，完善既有污水处理厂和新建、扩建污水处理厂配套管网建设，基本实现城中村、老旧城区和城乡结合部生活污水收集处理。加强沿海城市生活污水处理设施及配套管网建设和改造，增强脱氮除磷功能。</w:t>
            </w:r>
          </w:p>
          <w:p>
            <w:pPr>
              <w:adjustRightInd w:val="0"/>
              <w:snapToGrid w:val="0"/>
              <w:rPr>
                <w:rFonts w:ascii="Times New Roman" w:hAnsi="Times New Roman" w:cs="Times New Roman"/>
                <w:szCs w:val="21"/>
              </w:rPr>
            </w:pPr>
            <w:r>
              <w:rPr>
                <w:rFonts w:ascii="Times New Roman" w:hAnsi="Times New Roman" w:cs="Times New Roman"/>
                <w:szCs w:val="21"/>
              </w:rPr>
              <w:t>4、矿产资源勘查以及采选过程中排土场、露天采场、尾矿库、矿区专用道路、矿山工业场地、沉陷区、矸石场、矿山污染场地等的生态环境保护与治理恢复工作须满足《矿山生态环境保护与恢复治理技术规范（试行）》（HJ651-2013）要求。落实边开采、边保护、边复垦的要求，使新建、在建矿山损毁土地得到全面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28" w:type="dxa"/>
            <w:vMerge w:val="continue"/>
            <w:vAlign w:val="center"/>
          </w:tcPr>
          <w:p>
            <w:pPr>
              <w:adjustRightInd w:val="0"/>
              <w:snapToGrid w:val="0"/>
              <w:rPr>
                <w:rFonts w:ascii="Times New Roman" w:hAnsi="Times New Roman" w:cs="Times New Roman"/>
                <w:szCs w:val="21"/>
              </w:rPr>
            </w:pPr>
          </w:p>
        </w:tc>
        <w:tc>
          <w:tcPr>
            <w:tcW w:w="1984" w:type="dxa"/>
            <w:vMerge w:val="continue"/>
            <w:vAlign w:val="center"/>
          </w:tcPr>
          <w:p>
            <w:pPr>
              <w:adjustRightInd w:val="0"/>
              <w:snapToGrid w:val="0"/>
              <w:rPr>
                <w:rFonts w:ascii="Times New Roman" w:hAnsi="Times New Roman" w:cs="Times New Roman"/>
                <w:szCs w:val="21"/>
              </w:rPr>
            </w:pPr>
          </w:p>
        </w:tc>
        <w:tc>
          <w:tcPr>
            <w:tcW w:w="1531" w:type="dxa"/>
            <w:vMerge w:val="continue"/>
            <w:vAlign w:val="center"/>
          </w:tcPr>
          <w:p>
            <w:pPr>
              <w:adjustRightInd w:val="0"/>
              <w:snapToGrid w:val="0"/>
              <w:rPr>
                <w:rFonts w:ascii="Times New Roman" w:hAnsi="Times New Roman" w:cs="Times New Roman"/>
                <w:szCs w:val="21"/>
              </w:rPr>
            </w:pP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1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对暂不开发利用的污染地块，实施以防止污染扩散为目的的风险管控；对拟开发利用为居住用地和商业、学校、医疗、养老机构等公共设施用地的污染地块，实施以安全利用为目的的风险管控。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28" w:type="dxa"/>
            <w:vMerge w:val="continue"/>
            <w:vAlign w:val="center"/>
          </w:tcPr>
          <w:p>
            <w:pPr>
              <w:adjustRightInd w:val="0"/>
              <w:snapToGrid w:val="0"/>
              <w:rPr>
                <w:rFonts w:ascii="Times New Roman" w:hAnsi="Times New Roman" w:cs="Times New Roman"/>
                <w:szCs w:val="21"/>
              </w:rPr>
            </w:pPr>
          </w:p>
        </w:tc>
        <w:tc>
          <w:tcPr>
            <w:tcW w:w="1984" w:type="dxa"/>
            <w:vMerge w:val="continue"/>
            <w:vAlign w:val="center"/>
          </w:tcPr>
          <w:p>
            <w:pPr>
              <w:adjustRightInd w:val="0"/>
              <w:snapToGrid w:val="0"/>
              <w:rPr>
                <w:rFonts w:ascii="Times New Roman" w:hAnsi="Times New Roman" w:cs="Times New Roman"/>
                <w:szCs w:val="21"/>
              </w:rPr>
            </w:pPr>
          </w:p>
        </w:tc>
        <w:tc>
          <w:tcPr>
            <w:tcW w:w="1531" w:type="dxa"/>
            <w:vMerge w:val="continue"/>
            <w:vAlign w:val="center"/>
          </w:tcPr>
          <w:p>
            <w:pPr>
              <w:adjustRightInd w:val="0"/>
              <w:snapToGrid w:val="0"/>
              <w:rPr>
                <w:rFonts w:ascii="Times New Roman" w:hAnsi="Times New Roman" w:cs="Times New Roman"/>
                <w:szCs w:val="21"/>
              </w:rPr>
            </w:pP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14" w:type="dxa"/>
            <w:shd w:val="clear" w:color="auto" w:fill="auto"/>
            <w:vAlign w:val="center"/>
          </w:tcPr>
          <w:p>
            <w:pPr>
              <w:pStyle w:val="31"/>
              <w:rPr>
                <w:rFonts w:eastAsiaTheme="minorEastAsia"/>
              </w:rPr>
            </w:pPr>
            <w:r>
              <w:rPr>
                <w:rFonts w:eastAsiaTheme="minorEastAsia"/>
              </w:rPr>
              <w:t>1、废石、尾矿等固体废弃物处置率达到100%，矿山选矿废水重复利用率不低于85%。</w:t>
            </w:r>
          </w:p>
          <w:p>
            <w:pPr>
              <w:pStyle w:val="31"/>
            </w:pPr>
            <w:r>
              <w:rPr>
                <w:rFonts w:eastAsiaTheme="minorEastAsia"/>
              </w:rPr>
              <w:t>2、矿山开采回采率、选矿回收率和综合利用率等三项指标应符合自然资源部发布的相关矿种矿产资源合理开发利用“三率”最低指标要求（试行）。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28"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ZH45072120003</w:t>
            </w:r>
          </w:p>
        </w:tc>
        <w:tc>
          <w:tcPr>
            <w:tcW w:w="1984" w:type="dxa"/>
            <w:vMerge w:val="restart"/>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灵山县布局敏感区重点管控单元</w:t>
            </w:r>
          </w:p>
        </w:tc>
        <w:tc>
          <w:tcPr>
            <w:tcW w:w="1531"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14" w:type="dxa"/>
            <w:shd w:val="clear" w:color="auto" w:fill="auto"/>
            <w:vAlign w:val="center"/>
          </w:tcPr>
          <w:p>
            <w:pPr>
              <w:adjustRightInd w:val="0"/>
              <w:snapToGrid w:val="0"/>
              <w:rPr>
                <w:rFonts w:ascii="Times New Roman" w:hAnsi="Times New Roman" w:cs="Times New Roman"/>
                <w:szCs w:val="21"/>
              </w:rPr>
            </w:pPr>
            <w:r>
              <w:rPr>
                <w:rFonts w:hint="eastAsia" w:ascii="Times New Roman" w:hAnsi="Times New Roman" w:cs="Times New Roman"/>
                <w:szCs w:val="21"/>
              </w:rPr>
              <w:t>1、原则上避免大规模排放大气污染物的项目布局建设。</w:t>
            </w:r>
          </w:p>
          <w:p>
            <w:pPr>
              <w:adjustRightInd w:val="0"/>
              <w:snapToGrid w:val="0"/>
              <w:rPr>
                <w:rFonts w:ascii="Times New Roman" w:hAnsi="Times New Roman" w:cs="Times New Roman"/>
                <w:szCs w:val="21"/>
              </w:rPr>
            </w:pPr>
            <w:r>
              <w:rPr>
                <w:rFonts w:hint="eastAsia" w:ascii="Times New Roman" w:hAnsi="Times New Roman" w:cs="Times New Roman"/>
                <w:szCs w:val="21"/>
              </w:rPr>
              <w:t>2、引导以V0Cs排放为主的新建工业企业进入园区。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28" w:type="dxa"/>
            <w:vMerge w:val="continue"/>
            <w:vAlign w:val="center"/>
          </w:tcPr>
          <w:p>
            <w:pPr>
              <w:adjustRightInd w:val="0"/>
              <w:snapToGrid w:val="0"/>
              <w:rPr>
                <w:rFonts w:ascii="Times New Roman" w:hAnsi="Times New Roman" w:cs="Times New Roman"/>
                <w:szCs w:val="21"/>
              </w:rPr>
            </w:pPr>
          </w:p>
        </w:tc>
        <w:tc>
          <w:tcPr>
            <w:tcW w:w="1984" w:type="dxa"/>
            <w:vMerge w:val="continue"/>
            <w:vAlign w:val="center"/>
          </w:tcPr>
          <w:p>
            <w:pPr>
              <w:adjustRightInd w:val="0"/>
              <w:snapToGrid w:val="0"/>
              <w:rPr>
                <w:rFonts w:ascii="Times New Roman" w:hAnsi="Times New Roman" w:eastAsia="宋体" w:cs="Times New Roman"/>
                <w:kern w:val="0"/>
                <w:szCs w:val="21"/>
              </w:rPr>
            </w:pPr>
          </w:p>
        </w:tc>
        <w:tc>
          <w:tcPr>
            <w:tcW w:w="1531" w:type="dxa"/>
            <w:vMerge w:val="continue"/>
            <w:vAlign w:val="center"/>
          </w:tcPr>
          <w:p>
            <w:pPr>
              <w:adjustRightInd w:val="0"/>
              <w:snapToGrid w:val="0"/>
              <w:rPr>
                <w:rFonts w:ascii="Times New Roman" w:hAnsi="Times New Roman" w:cs="Times New Roman"/>
                <w:szCs w:val="21"/>
              </w:rPr>
            </w:pP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1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全面开展“散乱污”企业及集群综合整治行动。加大区域内大气污染治理力度，优化大气污染物排放项目布局，引导新建、扩建排放大气污染工业项目采用清洁生产工艺、先进的污染防治工艺。强化不利气象条件下秸秆焚烧控制，空气污染预警情况下严格执行秸秆禁烧管控。加强VOCs排放企业源头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28"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ZH45072120004</w:t>
            </w:r>
          </w:p>
        </w:tc>
        <w:tc>
          <w:tcPr>
            <w:tcW w:w="1984" w:type="dxa"/>
            <w:vMerge w:val="restart"/>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灵山县其他重点管控单元</w:t>
            </w:r>
          </w:p>
        </w:tc>
        <w:tc>
          <w:tcPr>
            <w:tcW w:w="1531"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14" w:type="dxa"/>
            <w:shd w:val="clear" w:color="auto" w:fill="auto"/>
            <w:vAlign w:val="center"/>
          </w:tcPr>
          <w:p>
            <w:pPr>
              <w:pStyle w:val="31"/>
              <w:spacing w:line="400" w:lineRule="exact"/>
            </w:pPr>
            <w:r>
              <w:t>1、入园项目必须符合国家、自治区产业政策、供地政策及园区产业定位。</w:t>
            </w:r>
          </w:p>
          <w:p>
            <w:pPr>
              <w:adjustRightInd w:val="0"/>
              <w:snapToGrid w:val="0"/>
              <w:rPr>
                <w:rFonts w:ascii="Times New Roman" w:hAnsi="Times New Roman" w:cs="Times New Roman"/>
                <w:szCs w:val="21"/>
              </w:rPr>
            </w:pPr>
            <w:r>
              <w:rPr>
                <w:rFonts w:ascii="Times New Roman" w:hAnsi="Times New Roman" w:cs="Times New Roman"/>
                <w:szCs w:val="21"/>
              </w:rPr>
              <w:t>2、规划产业园区应当依法依规进行审批。新建企业原则上均应建在产业园区。</w:t>
            </w:r>
          </w:p>
          <w:p>
            <w:pPr>
              <w:adjustRightInd w:val="0"/>
              <w:snapToGrid w:val="0"/>
              <w:rPr>
                <w:rFonts w:ascii="Times New Roman" w:hAnsi="Times New Roman" w:cs="Times New Roman"/>
                <w:szCs w:val="21"/>
              </w:rPr>
            </w:pPr>
            <w:r>
              <w:rPr>
                <w:rFonts w:ascii="Times New Roman" w:hAnsi="Times New Roman" w:cs="Times New Roman"/>
                <w:szCs w:val="21"/>
              </w:rPr>
              <w:t>3、居住用地周边严控布局潜在污染扰民和环境风险突出的建设项目。</w:t>
            </w:r>
            <w:r>
              <w:rPr>
                <w:rFonts w:ascii="Times New Roman" w:hAnsi="Times New Roman" w:cs="Times New Roman"/>
                <w:b/>
                <w:szCs w:val="21"/>
              </w:rPr>
              <w:t>禁止</w:t>
            </w:r>
            <w:r>
              <w:rPr>
                <w:rFonts w:ascii="Times New Roman" w:hAnsi="Times New Roman" w:cs="Times New Roman"/>
                <w:szCs w:val="21"/>
              </w:rPr>
              <w:t>在居民区和学校、医院、疗养院、养老院等单位周边新建、改建、扩建可能造成土壤污染的建设项目。</w:t>
            </w:r>
            <w:r>
              <w:rPr>
                <w:rFonts w:ascii="Times New Roman" w:hAnsi="Times New Roman" w:cs="Times New Roman"/>
                <w:b/>
                <w:szCs w:val="21"/>
              </w:rPr>
              <w:t>禁止</w:t>
            </w:r>
            <w:r>
              <w:rPr>
                <w:rFonts w:ascii="Times New Roman" w:hAnsi="Times New Roman" w:cs="Times New Roman"/>
                <w:szCs w:val="21"/>
              </w:rPr>
              <w:t>在人口聚居区域内新（改、扩）建涉重金属企业。</w:t>
            </w:r>
          </w:p>
          <w:p>
            <w:pPr>
              <w:adjustRightInd w:val="0"/>
              <w:snapToGrid w:val="0"/>
              <w:rPr>
                <w:rFonts w:ascii="Times New Roman" w:hAnsi="Times New Roman" w:cs="Times New Roman"/>
                <w:szCs w:val="21"/>
              </w:rPr>
            </w:pPr>
            <w:r>
              <w:rPr>
                <w:rFonts w:ascii="Times New Roman" w:hAnsi="Times New Roman" w:cs="Times New Roman"/>
                <w:szCs w:val="21"/>
              </w:rPr>
              <w:t>4、临近生态保护红线的工业企业，应采取有效措施，避免产生不利影响。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28" w:type="dxa"/>
            <w:vMerge w:val="continue"/>
            <w:vAlign w:val="center"/>
          </w:tcPr>
          <w:p>
            <w:pPr>
              <w:adjustRightInd w:val="0"/>
              <w:snapToGrid w:val="0"/>
              <w:rPr>
                <w:rFonts w:ascii="Times New Roman" w:hAnsi="Times New Roman" w:cs="Times New Roman"/>
                <w:szCs w:val="21"/>
              </w:rPr>
            </w:pPr>
          </w:p>
        </w:tc>
        <w:tc>
          <w:tcPr>
            <w:tcW w:w="1984" w:type="dxa"/>
            <w:vMerge w:val="continue"/>
            <w:vAlign w:val="center"/>
          </w:tcPr>
          <w:p>
            <w:pPr>
              <w:adjustRightInd w:val="0"/>
              <w:snapToGrid w:val="0"/>
              <w:rPr>
                <w:rFonts w:ascii="Times New Roman" w:hAnsi="Times New Roman" w:cs="Times New Roman"/>
                <w:szCs w:val="21"/>
              </w:rPr>
            </w:pPr>
          </w:p>
        </w:tc>
        <w:tc>
          <w:tcPr>
            <w:tcW w:w="1531" w:type="dxa"/>
            <w:vMerge w:val="continue"/>
            <w:vAlign w:val="center"/>
          </w:tcPr>
          <w:p>
            <w:pPr>
              <w:adjustRightInd w:val="0"/>
              <w:snapToGrid w:val="0"/>
              <w:rPr>
                <w:rFonts w:ascii="Times New Roman" w:hAnsi="Times New Roman" w:cs="Times New Roman"/>
                <w:szCs w:val="21"/>
              </w:rPr>
            </w:pP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14" w:type="dxa"/>
            <w:shd w:val="clear" w:color="auto" w:fill="auto"/>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szCs w:val="21"/>
              </w:rPr>
              <w:t>1、工业企业应当落实大气污染防治要求，采取有效措施，强化企业大气污染物排放精细化管理、无组织废气排放控制以及高效治污设施建设。</w:t>
            </w: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2、规划产业园区建设应同步完善污水处理设施及管网建设；园区及园区企业主要污染物排放应控制在区域环境承载能力范围内，确保环境质量达标。。</w:t>
            </w:r>
          </w:p>
          <w:p>
            <w:pPr>
              <w:adjustRightInd w:val="0"/>
              <w:snapToGrid w:val="0"/>
              <w:rPr>
                <w:rFonts w:ascii="Times New Roman" w:hAnsi="Times New Roman" w:cs="Times New Roman"/>
                <w:szCs w:val="21"/>
              </w:rPr>
            </w:pPr>
            <w:r>
              <w:rPr>
                <w:rFonts w:ascii="Times New Roman" w:hAnsi="Times New Roman" w:eastAsia="宋体" w:cs="Times New Roman"/>
                <w:szCs w:val="21"/>
              </w:rPr>
              <w:t>3、矿产资源勘查以及采选过程中排土场、露天采场、尾矿库、矿区专用道路、矿山工业场地、沉陷区、矸石场、矿山污染场地等的生态环境保护与治理恢复工作须满足《矿山生态环境保护与恢复治理技术规范（试行）》（HJ651-2013）要求。落实边开采、边保护、边复垦的要求，使新建、在建矿山损毁土地得到全面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28" w:type="dxa"/>
            <w:vMerge w:val="continue"/>
            <w:vAlign w:val="center"/>
          </w:tcPr>
          <w:p>
            <w:pPr>
              <w:adjustRightInd w:val="0"/>
              <w:snapToGrid w:val="0"/>
              <w:rPr>
                <w:rFonts w:ascii="Times New Roman" w:hAnsi="Times New Roman" w:cs="Times New Roman"/>
                <w:szCs w:val="21"/>
              </w:rPr>
            </w:pPr>
          </w:p>
        </w:tc>
        <w:tc>
          <w:tcPr>
            <w:tcW w:w="1984" w:type="dxa"/>
            <w:vMerge w:val="continue"/>
            <w:vAlign w:val="center"/>
          </w:tcPr>
          <w:p>
            <w:pPr>
              <w:adjustRightInd w:val="0"/>
              <w:snapToGrid w:val="0"/>
              <w:rPr>
                <w:rFonts w:ascii="Times New Roman" w:hAnsi="Times New Roman" w:cs="Times New Roman"/>
                <w:szCs w:val="21"/>
              </w:rPr>
            </w:pPr>
          </w:p>
        </w:tc>
        <w:tc>
          <w:tcPr>
            <w:tcW w:w="1531" w:type="dxa"/>
            <w:vMerge w:val="continue"/>
            <w:vAlign w:val="center"/>
          </w:tcPr>
          <w:p>
            <w:pPr>
              <w:adjustRightInd w:val="0"/>
              <w:snapToGrid w:val="0"/>
              <w:rPr>
                <w:rFonts w:ascii="Times New Roman" w:hAnsi="Times New Roman" w:cs="Times New Roman"/>
                <w:szCs w:val="21"/>
              </w:rPr>
            </w:pP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1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开展环境风险评估，制定突发环境事件应急预案并备案，配备应急能力和物资，建设环境应急队伍，并定期演练。完善区域应急联动机制。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928" w:type="dxa"/>
            <w:vMerge w:val="continue"/>
            <w:vAlign w:val="center"/>
          </w:tcPr>
          <w:p>
            <w:pPr>
              <w:adjustRightInd w:val="0"/>
              <w:snapToGrid w:val="0"/>
              <w:rPr>
                <w:rFonts w:ascii="Times New Roman" w:hAnsi="Times New Roman" w:cs="Times New Roman"/>
                <w:szCs w:val="21"/>
              </w:rPr>
            </w:pPr>
          </w:p>
        </w:tc>
        <w:tc>
          <w:tcPr>
            <w:tcW w:w="1984" w:type="dxa"/>
            <w:vMerge w:val="continue"/>
            <w:vAlign w:val="center"/>
          </w:tcPr>
          <w:p>
            <w:pPr>
              <w:adjustRightInd w:val="0"/>
              <w:snapToGrid w:val="0"/>
              <w:rPr>
                <w:rFonts w:ascii="Times New Roman" w:hAnsi="Times New Roman" w:cs="Times New Roman"/>
                <w:szCs w:val="21"/>
              </w:rPr>
            </w:pPr>
          </w:p>
        </w:tc>
        <w:tc>
          <w:tcPr>
            <w:tcW w:w="1531" w:type="dxa"/>
            <w:vMerge w:val="continue"/>
            <w:vAlign w:val="center"/>
          </w:tcPr>
          <w:p>
            <w:pPr>
              <w:adjustRightInd w:val="0"/>
              <w:snapToGrid w:val="0"/>
              <w:rPr>
                <w:rFonts w:ascii="Times New Roman" w:hAnsi="Times New Roman" w:cs="Times New Roman"/>
                <w:szCs w:val="21"/>
              </w:rPr>
            </w:pPr>
          </w:p>
        </w:tc>
        <w:tc>
          <w:tcPr>
            <w:tcW w:w="821" w:type="dxa"/>
            <w:shd w:val="clear" w:color="auto" w:fill="auto"/>
            <w:vAlign w:val="center"/>
          </w:tcPr>
          <w:p>
            <w:pPr>
              <w:pStyle w:val="31"/>
            </w:pPr>
            <w:r>
              <w:rPr>
                <w:rFonts w:eastAsiaTheme="minorEastAsia"/>
              </w:rPr>
              <w:t>资源开发利用效率要求</w:t>
            </w:r>
          </w:p>
        </w:tc>
        <w:tc>
          <w:tcPr>
            <w:tcW w:w="8914" w:type="dxa"/>
            <w:shd w:val="clear" w:color="auto" w:fill="auto"/>
            <w:vAlign w:val="center"/>
          </w:tcPr>
          <w:p>
            <w:pPr>
              <w:pStyle w:val="31"/>
              <w:rPr>
                <w:rFonts w:eastAsiaTheme="minorEastAsia"/>
              </w:rPr>
            </w:pPr>
            <w:r>
              <w:rPr>
                <w:rFonts w:eastAsiaTheme="minorEastAsia"/>
              </w:rPr>
              <w:t>1、废石、尾矿等固体废弃物处置率达到100%，矿山选矿废水重复利用率不低于85%。</w:t>
            </w:r>
          </w:p>
          <w:p>
            <w:pPr>
              <w:pStyle w:val="31"/>
            </w:pPr>
            <w:r>
              <w:rPr>
                <w:rFonts w:eastAsiaTheme="minorEastAsia"/>
              </w:rPr>
              <w:t>2、高岭土露天开采回采率≥85%、地下开采回采率75%，选矿回收率≥85%，尾矿综合利用率≥98%。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28"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ZH45072130001</w:t>
            </w:r>
          </w:p>
        </w:tc>
        <w:tc>
          <w:tcPr>
            <w:tcW w:w="198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灵山县一般管控单元</w:t>
            </w:r>
          </w:p>
        </w:tc>
        <w:tc>
          <w:tcPr>
            <w:tcW w:w="1531"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一般管控单元</w:t>
            </w:r>
          </w:p>
        </w:tc>
        <w:tc>
          <w:tcPr>
            <w:tcW w:w="821"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1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永久基本农田一经划定，任何单位和个人不得擅自占用或改变用途。禁止任何单位和个人破坏永久基本农田耕作层。对永久基本农田实行严格保护，确保其面积不减少、土壤环境质量不下降，除法律规定的重点建设项目选址确实无法避让外，其他任何建设不得占用。</w:t>
            </w:r>
          </w:p>
          <w:p>
            <w:pPr>
              <w:adjustRightInd w:val="0"/>
              <w:snapToGrid w:val="0"/>
              <w:rPr>
                <w:rFonts w:ascii="Times New Roman" w:hAnsi="Times New Roman" w:cs="Times New Roman"/>
                <w:szCs w:val="21"/>
              </w:rPr>
            </w:pPr>
            <w:r>
              <w:rPr>
                <w:rFonts w:ascii="Times New Roman" w:hAnsi="Times New Roman" w:cs="Times New Roman"/>
                <w:szCs w:val="21"/>
              </w:rPr>
              <w:t>2、</w:t>
            </w:r>
            <w:r>
              <w:rPr>
                <w:rFonts w:ascii="Times New Roman" w:hAnsi="Times New Roman" w:eastAsia="宋体" w:cs="Times New Roman"/>
              </w:rPr>
              <w:t>在永久基本农田集中区域</w:t>
            </w:r>
            <w:r>
              <w:rPr>
                <w:rFonts w:hint="eastAsia" w:ascii="Times New Roman" w:hAnsi="Times New Roman" w:eastAsia="宋体" w:cs="Times New Roman"/>
              </w:rPr>
              <w:t>，</w:t>
            </w:r>
            <w:r>
              <w:rPr>
                <w:rFonts w:ascii="Times New Roman" w:hAnsi="Times New Roman" w:eastAsia="宋体" w:cs="Times New Roman"/>
              </w:rPr>
              <w:t>不得新建可能造成土壤污染的建设项目</w:t>
            </w:r>
            <w:r>
              <w:rPr>
                <w:rFonts w:hint="eastAsia" w:ascii="Times New Roman" w:hAnsi="Times New Roman" w:eastAsia="宋体" w:cs="Times New Roman"/>
              </w:rPr>
              <w:t>；</w:t>
            </w:r>
            <w:r>
              <w:rPr>
                <w:rFonts w:ascii="Times New Roman" w:hAnsi="Times New Roman" w:eastAsia="宋体" w:cs="Times New Roman"/>
              </w:rPr>
              <w:t>已经建成的</w:t>
            </w:r>
            <w:r>
              <w:rPr>
                <w:rFonts w:hint="eastAsia" w:ascii="Times New Roman" w:hAnsi="Times New Roman" w:eastAsia="宋体" w:cs="Times New Roman"/>
              </w:rPr>
              <w:t>，</w:t>
            </w:r>
            <w:r>
              <w:rPr>
                <w:rFonts w:ascii="Times New Roman" w:hAnsi="Times New Roman" w:eastAsia="宋体" w:cs="Times New Roman"/>
              </w:rPr>
              <w:t>应当限期关闭拆除</w:t>
            </w:r>
            <w:r>
              <w:rPr>
                <w:rFonts w:hint="eastAsia" w:ascii="Times New Roman" w:hAnsi="Times New Roman" w:eastAsia="宋体" w:cs="Times New Roman"/>
              </w:rPr>
              <w:t>，</w:t>
            </w:r>
            <w:r>
              <w:rPr>
                <w:rFonts w:ascii="Times New Roman" w:hAnsi="Times New Roman" w:eastAsia="宋体" w:cs="Times New Roman"/>
              </w:rPr>
              <w:t>恢复原状</w:t>
            </w:r>
            <w:r>
              <w:rPr>
                <w:rFonts w:ascii="Times New Roman" w:hAnsi="Times New Roman" w:cs="Times New Roman"/>
                <w:szCs w:val="21"/>
              </w:rPr>
              <w:t>。</w:t>
            </w:r>
          </w:p>
          <w:p>
            <w:pPr>
              <w:adjustRightInd w:val="0"/>
              <w:snapToGrid w:val="0"/>
              <w:rPr>
                <w:rFonts w:ascii="Times New Roman" w:hAnsi="Times New Roman" w:cs="Times New Roman"/>
                <w:szCs w:val="21"/>
              </w:rPr>
            </w:pPr>
            <w:r>
              <w:rPr>
                <w:rFonts w:ascii="Times New Roman" w:hAnsi="Times New Roman" w:cs="Times New Roman"/>
                <w:szCs w:val="21"/>
              </w:rPr>
              <w:t>3、禁止将重金属或者其他有毒有害物质含量超标的工业固体废物、生活垃圾或者污染土壤用于土地复垦。</w:t>
            </w:r>
          </w:p>
        </w:tc>
      </w:tr>
    </w:tbl>
    <w:p>
      <w:pPr>
        <w:widowControl/>
        <w:jc w:val="left"/>
        <w:rPr>
          <w:rFonts w:ascii="Times New Roman" w:hAnsi="Times New Roman" w:cs="Times New Roman"/>
        </w:rPr>
      </w:pPr>
      <w:r>
        <w:rPr>
          <w:rFonts w:ascii="Times New Roman" w:hAnsi="Times New Roman" w:cs="Times New Roman"/>
        </w:rPr>
        <w:br w:type="page"/>
      </w:r>
    </w:p>
    <w:p>
      <w:pPr>
        <w:pStyle w:val="3"/>
        <w:spacing w:before="156" w:after="156"/>
      </w:pPr>
      <w:bookmarkStart w:id="26" w:name="_Toc17396"/>
      <w:r>
        <w:rPr>
          <w:rFonts w:hint="eastAsia"/>
        </w:rPr>
        <w:t>4</w:t>
      </w:r>
      <w:r>
        <w:tab/>
      </w:r>
      <w:r>
        <w:rPr>
          <w:rFonts w:hint="eastAsia"/>
        </w:rPr>
        <w:t>浦北县</w:t>
      </w:r>
      <w:bookmarkEnd w:id="26"/>
    </w:p>
    <w:p>
      <w:pPr>
        <w:adjustRightInd w:val="0"/>
        <w:snapToGrid w:val="0"/>
        <w:spacing w:line="300" w:lineRule="auto"/>
        <w:jc w:val="center"/>
        <w:outlineLvl w:val="3"/>
        <w:rPr>
          <w:rFonts w:ascii="Times New Roman" w:hAnsi="Times New Roman" w:eastAsia="黑体" w:cs="Times New Roman"/>
          <w:sz w:val="24"/>
          <w:szCs w:val="21"/>
        </w:rPr>
      </w:pPr>
      <w:bookmarkStart w:id="27" w:name="_Toc10438"/>
      <w:r>
        <w:rPr>
          <w:rFonts w:ascii="Times New Roman" w:hAnsi="Times New Roman" w:eastAsia="黑体" w:cs="Times New Roman"/>
          <w:sz w:val="28"/>
          <w:szCs w:val="28"/>
        </w:rPr>
        <w:t>表</w:t>
      </w:r>
      <w:r>
        <w:rPr>
          <w:rFonts w:hint="eastAsia" w:ascii="Times New Roman" w:hAnsi="Times New Roman" w:eastAsia="黑体" w:cs="Times New Roman"/>
          <w:sz w:val="28"/>
          <w:szCs w:val="28"/>
        </w:rPr>
        <w:t>4</w:t>
      </w:r>
      <w:r>
        <w:rPr>
          <w:rFonts w:ascii="Times New Roman" w:hAnsi="Times New Roman" w:eastAsia="黑体" w:cs="Times New Roman"/>
          <w:sz w:val="28"/>
          <w:szCs w:val="28"/>
        </w:rPr>
        <w:t xml:space="preserve">  钦州市浦北县</w:t>
      </w:r>
      <w:r>
        <w:rPr>
          <w:rFonts w:hint="eastAsia" w:ascii="Times New Roman" w:hAnsi="Times New Roman" w:eastAsia="黑体" w:cs="Times New Roman"/>
          <w:sz w:val="28"/>
          <w:szCs w:val="28"/>
        </w:rPr>
        <w:t>环境管控单元</w:t>
      </w:r>
      <w:r>
        <w:rPr>
          <w:rFonts w:ascii="Times New Roman" w:hAnsi="Times New Roman" w:eastAsia="黑体" w:cs="Times New Roman"/>
          <w:sz w:val="28"/>
          <w:szCs w:val="28"/>
        </w:rPr>
        <w:t>生态环境准入清单</w:t>
      </w:r>
      <w:bookmarkEnd w:id="27"/>
    </w:p>
    <w:tbl>
      <w:tblPr>
        <w:tblStyle w:val="18"/>
        <w:tblW w:w="15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994"/>
        <w:gridCol w:w="1600"/>
        <w:gridCol w:w="792"/>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blHeader/>
        </w:trPr>
        <w:tc>
          <w:tcPr>
            <w:tcW w:w="1984" w:type="dxa"/>
            <w:shd w:val="clear" w:color="auto" w:fill="auto"/>
            <w:vAlign w:val="center"/>
          </w:tcPr>
          <w:p>
            <w:pPr>
              <w:adjustRightInd w:val="0"/>
              <w:snapToGrid w:val="0"/>
              <w:jc w:val="center"/>
              <w:rPr>
                <w:rFonts w:ascii="Times New Roman" w:hAnsi="Times New Roman" w:cs="Times New Roman"/>
                <w:b/>
                <w:szCs w:val="20"/>
              </w:rPr>
            </w:pPr>
            <w:r>
              <w:rPr>
                <w:rFonts w:ascii="Times New Roman" w:hAnsi="Times New Roman" w:cs="Times New Roman"/>
                <w:b/>
                <w:szCs w:val="20"/>
              </w:rPr>
              <w:t>环境管控单元编码</w:t>
            </w:r>
          </w:p>
        </w:tc>
        <w:tc>
          <w:tcPr>
            <w:tcW w:w="1994" w:type="dxa"/>
            <w:shd w:val="clear" w:color="auto" w:fill="auto"/>
            <w:vAlign w:val="center"/>
          </w:tcPr>
          <w:p>
            <w:pPr>
              <w:adjustRightInd w:val="0"/>
              <w:snapToGrid w:val="0"/>
              <w:jc w:val="center"/>
              <w:rPr>
                <w:rFonts w:ascii="Times New Roman" w:hAnsi="Times New Roman" w:cs="Times New Roman"/>
                <w:b/>
                <w:szCs w:val="20"/>
              </w:rPr>
            </w:pPr>
            <w:r>
              <w:rPr>
                <w:rFonts w:ascii="Times New Roman" w:hAnsi="Times New Roman" w:cs="Times New Roman"/>
                <w:b/>
                <w:szCs w:val="20"/>
              </w:rPr>
              <w:t>环境管控单元名称</w:t>
            </w:r>
          </w:p>
        </w:tc>
        <w:tc>
          <w:tcPr>
            <w:tcW w:w="1600" w:type="dxa"/>
            <w:shd w:val="clear" w:color="auto" w:fill="auto"/>
            <w:vAlign w:val="center"/>
          </w:tcPr>
          <w:p>
            <w:pPr>
              <w:adjustRightInd w:val="0"/>
              <w:snapToGrid w:val="0"/>
              <w:jc w:val="center"/>
              <w:rPr>
                <w:rFonts w:ascii="Times New Roman" w:hAnsi="Times New Roman" w:cs="Times New Roman"/>
                <w:b/>
                <w:szCs w:val="20"/>
              </w:rPr>
            </w:pPr>
            <w:r>
              <w:rPr>
                <w:rFonts w:ascii="Times New Roman" w:hAnsi="Times New Roman" w:cs="Times New Roman"/>
                <w:b/>
                <w:szCs w:val="20"/>
              </w:rPr>
              <w:t>管控单元类别</w:t>
            </w:r>
          </w:p>
        </w:tc>
        <w:tc>
          <w:tcPr>
            <w:tcW w:w="9600" w:type="dxa"/>
            <w:gridSpan w:val="2"/>
            <w:shd w:val="clear" w:color="auto" w:fill="auto"/>
            <w:vAlign w:val="center"/>
          </w:tcPr>
          <w:p>
            <w:pPr>
              <w:adjustRightInd w:val="0"/>
              <w:snapToGrid w:val="0"/>
              <w:jc w:val="center"/>
              <w:rPr>
                <w:rFonts w:ascii="Times New Roman" w:hAnsi="Times New Roman" w:cs="Times New Roman"/>
                <w:b/>
                <w:szCs w:val="20"/>
              </w:rPr>
            </w:pPr>
            <w:r>
              <w:rPr>
                <w:rFonts w:ascii="Times New Roman" w:hAnsi="Times New Roman" w:cs="Times New Roman"/>
                <w:b/>
                <w:szCs w:val="20"/>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5" w:hRule="atLeast"/>
        </w:trPr>
        <w:tc>
          <w:tcPr>
            <w:tcW w:w="198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ZH45072210001</w:t>
            </w:r>
          </w:p>
        </w:tc>
        <w:tc>
          <w:tcPr>
            <w:tcW w:w="199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北部湾水源涵养生态保护红线</w:t>
            </w:r>
          </w:p>
        </w:tc>
        <w:tc>
          <w:tcPr>
            <w:tcW w:w="1600"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08" w:type="dxa"/>
            <w:shd w:val="clear" w:color="auto" w:fill="auto"/>
            <w:vAlign w:val="center"/>
          </w:tcPr>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严格落实国家、自治区对生态保护红线及自然保护地的管控要求。</w:t>
            </w:r>
            <w:r>
              <w:rPr>
                <w:rFonts w:ascii="Times New Roman" w:hAnsi="Times New Roman" w:cs="Times New Roman"/>
                <w:szCs w:val="21"/>
              </w:rPr>
              <w:t>严禁不符合主体功能定位的各类开发活动，严禁任意改变用途，严格禁止任何单位和个人擅自占用和改变用地性质。</w:t>
            </w:r>
          </w:p>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2、在符合现行法律法规前提下，除国家重大战略项目外，仅允许对生态功能不造成破坏的有限人为活动。</w:t>
            </w:r>
          </w:p>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3、有限人为活动按照《中共中央办公厅 国务院办公厅印发＜关于在国土空间规划中统筹划定落实三条控制线的指导意见＞》和省级环境管控及准入要求清单进行。</w:t>
            </w:r>
          </w:p>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4、饮用水水源保护区以及生态公益林、天然林还需执行国家、自治区以及市县相应法律法规要求。</w:t>
            </w:r>
          </w:p>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5、《生态保护红线管理办法》出台后，按其规定执行。。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6" w:hRule="atLeast"/>
        </w:trPr>
        <w:tc>
          <w:tcPr>
            <w:tcW w:w="198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ZH45072210002</w:t>
            </w:r>
          </w:p>
        </w:tc>
        <w:tc>
          <w:tcPr>
            <w:tcW w:w="199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广西五皇山国家地质公园生态保护红线</w:t>
            </w:r>
          </w:p>
        </w:tc>
        <w:tc>
          <w:tcPr>
            <w:tcW w:w="1600"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08"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严格落实国家、自治区对生态保护红线及自然保护地的管控要求。</w:t>
            </w:r>
            <w:r>
              <w:rPr>
                <w:rFonts w:ascii="Times New Roman" w:hAnsi="Times New Roman" w:cs="Times New Roman"/>
              </w:rPr>
              <w:t>严禁不符合主体功能定位的各类开发活动，严禁任意改变用途，严格禁止任何单位和个人擅自占用和改变用地性质。</w:t>
            </w:r>
          </w:p>
          <w:p>
            <w:pPr>
              <w:adjustRightInd w:val="0"/>
              <w:snapToGrid w:val="0"/>
              <w:rPr>
                <w:rFonts w:ascii="Times New Roman" w:hAnsi="Times New Roman" w:cs="Times New Roman"/>
              </w:rPr>
            </w:pPr>
            <w:r>
              <w:rPr>
                <w:rFonts w:ascii="Times New Roman" w:hAnsi="Times New Roman" w:cs="Times New Roman"/>
              </w:rPr>
              <w:t>2、核心保护区内，除满足国家特殊战略需要的有关活动外，原则上禁止人为活动；一般控制区内，除满足国家特殊战略需要的有关活动外，原则上禁止开发性、生产性建设活动，仅允许对生态功能不造成破坏的有限人为活动。</w:t>
            </w:r>
          </w:p>
          <w:p>
            <w:pPr>
              <w:adjustRightInd w:val="0"/>
              <w:snapToGrid w:val="0"/>
              <w:rPr>
                <w:rFonts w:ascii="Times New Roman" w:hAnsi="Times New Roman" w:cs="Times New Roman"/>
              </w:rPr>
            </w:pPr>
            <w:r>
              <w:rPr>
                <w:rFonts w:ascii="Times New Roman" w:hAnsi="Times New Roman" w:cs="Times New Roman"/>
              </w:rPr>
              <w:t>3、有限人为活动按照《中共中央办公厅 国务院办公厅印发＜关于在国土空间规划中统筹划定落实三条控制线的指导意见＞》和省级环境管控及准入要求清单进行。</w:t>
            </w:r>
          </w:p>
          <w:p>
            <w:pPr>
              <w:adjustRightInd w:val="0"/>
              <w:snapToGrid w:val="0"/>
              <w:rPr>
                <w:rFonts w:ascii="Times New Roman" w:hAnsi="Times New Roman" w:cs="Times New Roman"/>
              </w:rPr>
            </w:pPr>
            <w:r>
              <w:rPr>
                <w:rFonts w:ascii="Times New Roman" w:hAnsi="Times New Roman" w:cs="Times New Roman"/>
              </w:rPr>
              <w:t>4、地质公园执行</w:t>
            </w:r>
            <w:r>
              <w:rPr>
                <w:rFonts w:ascii="Times New Roman" w:hAnsi="Times New Roman" w:cs="Times New Roman"/>
                <w:szCs w:val="21"/>
              </w:rPr>
              <w:t>《地质遗迹保护管理规定》《森林公园管理办法》相关要求，</w:t>
            </w:r>
            <w:r>
              <w:rPr>
                <w:rFonts w:ascii="Times New Roman" w:hAnsi="Times New Roman" w:cs="Times New Roman"/>
              </w:rPr>
              <w:t>生态公益林、天然林还需执行国家、自治区以及市县相应法律法规要求。</w:t>
            </w:r>
          </w:p>
          <w:p>
            <w:pPr>
              <w:snapToGrid w:val="0"/>
              <w:rPr>
                <w:rFonts w:ascii="Times New Roman" w:hAnsi="Times New Roman" w:cs="Times New Roman"/>
              </w:rPr>
            </w:pPr>
            <w:r>
              <w:rPr>
                <w:rFonts w:ascii="Times New Roman" w:hAnsi="Times New Roman" w:cs="Times New Roman"/>
              </w:rPr>
              <w:t>5、《生态保护红线管理办法》出台后，按其规定执行。。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198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ZH45072210006</w:t>
            </w:r>
          </w:p>
        </w:tc>
        <w:tc>
          <w:tcPr>
            <w:tcW w:w="199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龙头水库饮用水水源保护区一般生态空间</w:t>
            </w:r>
          </w:p>
        </w:tc>
        <w:tc>
          <w:tcPr>
            <w:tcW w:w="1600"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0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按照《饮用水水源保护区污染防治管理规定》《中华人民共和国水污染防治法》《广西壮族自治区饮用水水源保护条例》《广西壮族自治区水污染防治条例》等相关法律法规进行管理。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3" w:hRule="atLeast"/>
        </w:trPr>
        <w:tc>
          <w:tcPr>
            <w:tcW w:w="198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ZH45072210007</w:t>
            </w:r>
          </w:p>
        </w:tc>
        <w:tc>
          <w:tcPr>
            <w:tcW w:w="1994" w:type="dxa"/>
            <w:vAlign w:val="center"/>
          </w:tcPr>
          <w:p>
            <w:pPr>
              <w:adjustRightInd w:val="0"/>
              <w:snapToGrid w:val="0"/>
              <w:rPr>
                <w:rFonts w:ascii="Times New Roman" w:hAnsi="Times New Roman" w:cs="Times New Roman"/>
                <w:szCs w:val="21"/>
              </w:rPr>
            </w:pPr>
            <w:r>
              <w:rPr>
                <w:rFonts w:ascii="Times New Roman" w:hAnsi="Times New Roman" w:cs="Times New Roman"/>
                <w:kern w:val="0"/>
                <w:szCs w:val="21"/>
              </w:rPr>
              <w:t>绿珠江饮用水水源保护区一般生态空间</w:t>
            </w:r>
          </w:p>
        </w:tc>
        <w:tc>
          <w:tcPr>
            <w:tcW w:w="1600"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08" w:type="dxa"/>
            <w:shd w:val="clear" w:color="auto" w:fill="auto"/>
            <w:vAlign w:val="center"/>
          </w:tcPr>
          <w:p>
            <w:pPr>
              <w:rPr>
                <w:rFonts w:ascii="Times New Roman" w:hAnsi="Times New Roman" w:cs="Times New Roman"/>
              </w:rPr>
            </w:pPr>
            <w:r>
              <w:rPr>
                <w:rFonts w:ascii="Times New Roman" w:hAnsi="Times New Roman" w:cs="Times New Roman"/>
              </w:rPr>
              <w:t>1、按照《饮用水水源保护区污染防治管理规定》《中华人民共和国水污染防治法》《广西壮族自治区饮用水水源保护条例》《广西壮族自治区水污染防治条例》等相关法律法规进行管理。</w:t>
            </w:r>
          </w:p>
          <w:p>
            <w:pPr>
              <w:adjustRightInd w:val="0"/>
              <w:snapToGrid w:val="0"/>
              <w:rPr>
                <w:rFonts w:ascii="Times New Roman" w:hAnsi="Times New Roman" w:cs="Times New Roman"/>
                <w:szCs w:val="21"/>
              </w:rPr>
            </w:pPr>
            <w:r>
              <w:rPr>
                <w:rFonts w:ascii="Times New Roman" w:hAnsi="Times New Roman" w:cs="Times New Roman"/>
              </w:rPr>
              <w:t>2、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3" w:hRule="atLeast"/>
        </w:trPr>
        <w:tc>
          <w:tcPr>
            <w:tcW w:w="1984" w:type="dxa"/>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ZH45072210008</w:t>
            </w:r>
          </w:p>
        </w:tc>
        <w:tc>
          <w:tcPr>
            <w:tcW w:w="1994" w:type="dxa"/>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石梯江饮用水水源保护区一般生态空间</w:t>
            </w:r>
          </w:p>
        </w:tc>
        <w:tc>
          <w:tcPr>
            <w:tcW w:w="1600"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08" w:type="dxa"/>
            <w:shd w:val="clear" w:color="auto" w:fill="auto"/>
            <w:vAlign w:val="center"/>
          </w:tcPr>
          <w:p>
            <w:pPr>
              <w:rPr>
                <w:rFonts w:ascii="Times New Roman" w:hAnsi="Times New Roman" w:cs="Times New Roman"/>
              </w:rPr>
            </w:pPr>
            <w:r>
              <w:rPr>
                <w:rFonts w:ascii="Times New Roman" w:hAnsi="Times New Roman" w:cs="Times New Roman"/>
              </w:rPr>
              <w:t>1、按照《饮用水水源保护区污染防治管理规定》《中华人民共和国水污染防治法》《广西壮族自治区饮用水水源保护条例》《广西壮族自治区水污染防治条例》等相关法律法规进行管理。</w:t>
            </w:r>
          </w:p>
          <w:p>
            <w:pPr>
              <w:adjustRightInd w:val="0"/>
              <w:snapToGrid w:val="0"/>
              <w:rPr>
                <w:rFonts w:ascii="Times New Roman" w:hAnsi="Times New Roman" w:cs="Times New Roman"/>
                <w:szCs w:val="21"/>
              </w:rPr>
            </w:pPr>
            <w:r>
              <w:rPr>
                <w:rFonts w:ascii="Times New Roman" w:hAnsi="Times New Roman" w:cs="Times New Roman"/>
              </w:rPr>
              <w:t>2、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3" w:hRule="atLeast"/>
        </w:trPr>
        <w:tc>
          <w:tcPr>
            <w:tcW w:w="1984" w:type="dxa"/>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ZH45072210009</w:t>
            </w:r>
          </w:p>
        </w:tc>
        <w:tc>
          <w:tcPr>
            <w:tcW w:w="1994" w:type="dxa"/>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小江饮用水水源保护区一般生态空间</w:t>
            </w:r>
          </w:p>
        </w:tc>
        <w:tc>
          <w:tcPr>
            <w:tcW w:w="1600"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08" w:type="dxa"/>
            <w:shd w:val="clear" w:color="auto" w:fill="auto"/>
            <w:vAlign w:val="center"/>
          </w:tcPr>
          <w:p>
            <w:pPr>
              <w:rPr>
                <w:rFonts w:ascii="Times New Roman" w:hAnsi="Times New Roman" w:cs="Times New Roman"/>
              </w:rPr>
            </w:pPr>
            <w:r>
              <w:rPr>
                <w:rFonts w:ascii="Times New Roman" w:hAnsi="Times New Roman" w:cs="Times New Roman"/>
              </w:rPr>
              <w:t>1、按照《饮用水水源保护区污染防治管理规定》《中华人民共和国水污染防治法》《广西壮族自治区饮用水水源保护条例》《广西壮族自治区水污染防治条例》等相关法律法规进行管理。</w:t>
            </w:r>
          </w:p>
          <w:p>
            <w:pPr>
              <w:adjustRightInd w:val="0"/>
              <w:snapToGrid w:val="0"/>
              <w:rPr>
                <w:rFonts w:ascii="Times New Roman" w:hAnsi="Times New Roman" w:cs="Times New Roman"/>
                <w:szCs w:val="21"/>
              </w:rPr>
            </w:pPr>
            <w:r>
              <w:rPr>
                <w:rFonts w:ascii="Times New Roman" w:hAnsi="Times New Roman" w:cs="Times New Roman"/>
              </w:rPr>
              <w:t>2、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67" w:hRule="atLeast"/>
        </w:trPr>
        <w:tc>
          <w:tcPr>
            <w:tcW w:w="1984" w:type="dxa"/>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ZH45072210010</w:t>
            </w:r>
          </w:p>
        </w:tc>
        <w:tc>
          <w:tcPr>
            <w:tcW w:w="1994" w:type="dxa"/>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浦北县其他优先保护单元</w:t>
            </w:r>
          </w:p>
        </w:tc>
        <w:tc>
          <w:tcPr>
            <w:tcW w:w="1600"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优先保护单元</w:t>
            </w: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0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1、除符合国土空间规划建设和布局要求，以及市级以上矿产资源总体规划、能源开发利用规划、线性工程规划外，原则上按限制开发区域的要求进行管理。</w:t>
            </w:r>
          </w:p>
          <w:p>
            <w:pPr>
              <w:adjustRightInd w:val="0"/>
              <w:snapToGrid w:val="0"/>
              <w:rPr>
                <w:rFonts w:ascii="Times New Roman" w:hAnsi="Times New Roman" w:cs="Times New Roman"/>
                <w:szCs w:val="21"/>
              </w:rPr>
            </w:pPr>
            <w:r>
              <w:rPr>
                <w:rFonts w:ascii="Times New Roman" w:hAnsi="Times New Roman" w:cs="Times New Roman"/>
                <w:szCs w:val="21"/>
              </w:rPr>
              <w:t>2、矿产资源开发活动、新能源建设项目以及线性工程项目等要符合法律法规以及主体功能区规划、生态功能区划、环境保护总体规划、行业规划等规划要求，不得破坏生态、降低环境质量。要优化项目选址布局，严格控制开采量和开采区域，减少对生态空间的占用，不影响区域主导生态功能。要采取更加严格和有效的预防和保护措施，避免和减轻开发活动造成的生态破坏和环境污染。要严格落实项目环评的跟踪监测计划，项目开采（开工）、闭矿、跟踪监测要及时向所在地生态环境部门进行报备。加强矿山开采项目及其闭矿的环保督察，开展矿山区域生态环境质量飞行抽检。乡村振兴项目建设的审批简化和豁免要符合有关规定，不得影响区域主导生态功能、降低区域生态环境质量。</w:t>
            </w:r>
          </w:p>
          <w:p>
            <w:pPr>
              <w:rPr>
                <w:rFonts w:ascii="Times New Roman" w:hAnsi="Times New Roman" w:cs="Times New Roman"/>
                <w:szCs w:val="21"/>
              </w:rPr>
            </w:pPr>
            <w:r>
              <w:rPr>
                <w:rFonts w:ascii="Times New Roman" w:hAnsi="Times New Roman" w:cs="Times New Roman"/>
                <w:szCs w:val="21"/>
              </w:rPr>
              <w:t>3、生物多样性维护功能（极）重要区内禁止滥捕、乱采、乱猎野生动植物。保护自然生态系统与重要物种栖息地，禁止无序采矿、毁林开荒、湿地和草地开垦等各种损害栖息地的经济社会活动和生产方式。防止生态建设导致栖息环境的改变。加强对外来物种入侵的控制，禁止在生物多样性保护功能区引进外来物种。加强生物多样性资源调查与监测，保护和修复自然生态系统和重要物种栖息地，实施生物多样性保护工程。</w:t>
            </w:r>
          </w:p>
          <w:p>
            <w:pPr>
              <w:rPr>
                <w:rFonts w:ascii="Times New Roman" w:hAnsi="Times New Roman" w:cs="Times New Roman"/>
                <w:szCs w:val="21"/>
              </w:rPr>
            </w:pPr>
            <w:r>
              <w:rPr>
                <w:rFonts w:ascii="Times New Roman" w:hAnsi="Times New Roman" w:cs="Times New Roman"/>
                <w:szCs w:val="21"/>
              </w:rPr>
              <w:t>4、水源涵养功能（极）重要区内严格保护具有水源涵养功能的自然植被，禁止过度放牧、无序采矿、毁林开荒，限制或禁止湿地和草地开垦等损害生态系统水源涵养功能的活动。加强生态公益林改造和建设，通过封育恢复自然植被，促使其逐步向常绿阔叶林演化，提高水源涵养的功能；林产业向合理利用与保护建设相结合的生态型林业方向发展，保持森林生长与采伐利用的动态平衡，兼顾生态效益和经济效益，逐步恢复和改善地力；加强水土保持。</w:t>
            </w:r>
          </w:p>
          <w:p>
            <w:pPr>
              <w:rPr>
                <w:rFonts w:ascii="Times New Roman" w:hAnsi="Times New Roman" w:cs="Times New Roman"/>
                <w:szCs w:val="21"/>
              </w:rPr>
            </w:pPr>
            <w:r>
              <w:rPr>
                <w:rFonts w:ascii="Times New Roman" w:hAnsi="Times New Roman" w:cs="Times New Roman"/>
                <w:szCs w:val="21"/>
              </w:rPr>
              <w:t>5、依据《国家级公益林管理办法》（林资发〔2017〕34号）进行管理，严格控制勘查、开采矿藏和工程建设使用国家级公益林地。确需使用的，严格按照《建设项目使用林地审核审批管理办法》有关规定办理使用林地手续。涉及林木采伐的，按相关规定依法办理林木采伐手续。经审核审批同意使用的国家级公益林地，可按规定实行占补平衡。一级国家级公益林原则上不得开展生产经营活动，严禁打枝、采脂、割漆、剥树皮、掘根等行为。二级国家级公益林在不影响整体森林生态系统功能发挥的前提下，可以按照相关技术规程的规定开展抚育和更新性质的采伐。在不破坏森林植被的前提下，可以合理利用其林地资源，适度开展林下种植养殖和森林游憩等非木质资源开发与利用，科学发展林下经济。</w:t>
            </w:r>
          </w:p>
          <w:p>
            <w:pPr>
              <w:adjustRightInd w:val="0"/>
              <w:snapToGrid w:val="0"/>
              <w:rPr>
                <w:rFonts w:ascii="Times New Roman" w:hAnsi="Times New Roman" w:cs="Times New Roman"/>
                <w:szCs w:val="21"/>
              </w:rPr>
            </w:pPr>
            <w:r>
              <w:rPr>
                <w:rFonts w:ascii="Times New Roman" w:hAnsi="Times New Roman" w:cs="Times New Roman"/>
                <w:szCs w:val="21"/>
              </w:rPr>
              <w:t>6、对所有天然林实行保护，禁止毁林开垦、将天然林改造为人工林以及其他破坏天然林及其生态环境的行为。对纳入保护重点区域的天然林，除森林病虫害防治、森林防火等维护天然林生态系统健康的必要措施外，禁止其他一切生产经营活动。开展天然林抚育作业的，必须编制作业设计，经林业主管部门审查批准后实施。严格控制天然林地转为其他用途，除国防建设、国家重大工程项目建设特色需要外，禁止占用保护重点区域的天然林地。在不破坏地表植被、不影响生物多样性保护前提下，可在天然林地适度发展生态旅游、休闲康养、特色种植养殖产业。</w:t>
            </w:r>
          </w:p>
          <w:p>
            <w:pPr>
              <w:adjustRightInd w:val="0"/>
              <w:snapToGrid w:val="0"/>
              <w:rPr>
                <w:rFonts w:ascii="Times New Roman" w:hAnsi="Times New Roman" w:cs="Times New Roman"/>
                <w:szCs w:val="21"/>
              </w:rPr>
            </w:pPr>
            <w:r>
              <w:rPr>
                <w:rFonts w:ascii="Times New Roman" w:hAnsi="Times New Roman" w:cs="Times New Roman"/>
                <w:szCs w:val="21"/>
              </w:rPr>
              <w:t>7、（1）严格控制区域开发强度，禁止建设水污染较大、水环境风险较高的项目。严禁水功能在Ⅱ类以上河流设置排污口，管控单元内工业污染物排放总量不得增加。严格控制区域开发强度，禁止建设水污染较大、水环境风险较高的项目。（2）现有的不符合保护要求的设施或项目限期退出或关停。（3）严控可能造成水土流失的生产建设活动，建设单位在生产建设活动中造成水土流失的，应采取水土流失预防和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1984" w:type="dxa"/>
            <w:vMerge w:val="restart"/>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ZH45072220001</w:t>
            </w:r>
          </w:p>
        </w:tc>
        <w:tc>
          <w:tcPr>
            <w:tcW w:w="1994" w:type="dxa"/>
            <w:vMerge w:val="restart"/>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浦北县工业集中区重点管控单元</w:t>
            </w:r>
          </w:p>
        </w:tc>
        <w:tc>
          <w:tcPr>
            <w:tcW w:w="1600"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92" w:type="dxa"/>
            <w:shd w:val="clear" w:color="auto" w:fill="auto"/>
            <w:vAlign w:val="center"/>
          </w:tcPr>
          <w:p>
            <w:pPr>
              <w:pStyle w:val="31"/>
            </w:pPr>
            <w:r>
              <w:rPr>
                <w:rFonts w:eastAsiaTheme="minorEastAsia"/>
                <w:kern w:val="0"/>
              </w:rPr>
              <w:t>空间布局约束</w:t>
            </w:r>
          </w:p>
        </w:tc>
        <w:tc>
          <w:tcPr>
            <w:tcW w:w="8808" w:type="dxa"/>
            <w:shd w:val="clear" w:color="auto" w:fill="auto"/>
            <w:vAlign w:val="center"/>
          </w:tcPr>
          <w:p>
            <w:pPr>
              <w:rPr>
                <w:rFonts w:ascii="Times New Roman" w:hAnsi="Times New Roman" w:cs="Times New Roman"/>
              </w:rPr>
            </w:pPr>
            <w:r>
              <w:rPr>
                <w:rFonts w:ascii="Times New Roman" w:hAnsi="Times New Roman" w:cs="Times New Roman"/>
              </w:rPr>
              <w:t>1、引进的项目必须符合国家、自治区产业政策、供地政策及园区产业定位。</w:t>
            </w:r>
          </w:p>
          <w:p>
            <w:pPr>
              <w:rPr>
                <w:rFonts w:ascii="Times New Roman" w:hAnsi="Times New Roman" w:cs="Times New Roman"/>
              </w:rPr>
            </w:pPr>
            <w:r>
              <w:rPr>
                <w:rFonts w:ascii="Times New Roman" w:hAnsi="Times New Roman" w:cs="Times New Roman"/>
              </w:rPr>
              <w:t>2、按照园区产业定位严格控制引进的项目在区域环境承载能力范围内。</w:t>
            </w:r>
          </w:p>
          <w:p>
            <w:pPr>
              <w:rPr>
                <w:rFonts w:ascii="Times New Roman" w:hAnsi="Times New Roman" w:cs="Times New Roman"/>
              </w:rPr>
            </w:pPr>
            <w:r>
              <w:rPr>
                <w:rFonts w:ascii="Times New Roman" w:hAnsi="Times New Roman" w:cs="Times New Roman"/>
              </w:rPr>
              <w:t>3、居住用地周边严控布局潜在污染扰民和环境风险突出的建设项目。</w:t>
            </w:r>
          </w:p>
          <w:p>
            <w:pPr>
              <w:rPr>
                <w:rFonts w:ascii="Times New Roman" w:hAnsi="Times New Roman" w:cs="Times New Roman"/>
              </w:rPr>
            </w:pPr>
            <w:r>
              <w:rPr>
                <w:rFonts w:ascii="Times New Roman" w:hAnsi="Times New Roman" w:cs="Times New Roman"/>
              </w:rPr>
              <w:t>4、优化空间分布，严控环境风险，合理布局生产装置及危险化学品仓储等设施。</w:t>
            </w:r>
          </w:p>
          <w:p>
            <w:pPr>
              <w:rPr>
                <w:rFonts w:ascii="Times New Roman" w:hAnsi="Times New Roman" w:cs="Times New Roman"/>
              </w:rPr>
            </w:pPr>
            <w:r>
              <w:rPr>
                <w:rFonts w:ascii="Times New Roman" w:hAnsi="Times New Roman" w:cs="Times New Roman"/>
              </w:rPr>
              <w:t>5、优先引进清洁生产和循环经济项目，着力提升产业层次，构建绿色现代工业集群。</w:t>
            </w:r>
          </w:p>
          <w:p>
            <w:pPr>
              <w:rPr>
                <w:rFonts w:ascii="Times New Roman" w:hAnsi="Times New Roman" w:cs="Times New Roman"/>
                <w:szCs w:val="21"/>
              </w:rPr>
            </w:pPr>
            <w:r>
              <w:rPr>
                <w:rFonts w:ascii="Times New Roman" w:hAnsi="Times New Roman" w:cs="Times New Roman"/>
              </w:rPr>
              <w:t>6、合理规划居住区与工业区，在居住区和工业区、工业企业之间设置防护绿地、生活绿地等隔离带。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9" w:hRule="atLeast"/>
        </w:trPr>
        <w:tc>
          <w:tcPr>
            <w:tcW w:w="1984" w:type="dxa"/>
            <w:vMerge w:val="continue"/>
            <w:vAlign w:val="center"/>
          </w:tcPr>
          <w:p>
            <w:pPr>
              <w:adjustRightInd w:val="0"/>
              <w:snapToGrid w:val="0"/>
              <w:rPr>
                <w:rFonts w:ascii="Times New Roman" w:hAnsi="Times New Roman" w:cs="Times New Roman"/>
                <w:szCs w:val="21"/>
              </w:rPr>
            </w:pPr>
          </w:p>
        </w:tc>
        <w:tc>
          <w:tcPr>
            <w:tcW w:w="1994" w:type="dxa"/>
            <w:vMerge w:val="continue"/>
            <w:vAlign w:val="center"/>
          </w:tcPr>
          <w:p>
            <w:pPr>
              <w:adjustRightInd w:val="0"/>
              <w:snapToGrid w:val="0"/>
              <w:rPr>
                <w:rFonts w:ascii="Times New Roman" w:hAnsi="Times New Roman" w:eastAsia="宋体" w:cs="Times New Roman"/>
                <w:kern w:val="0"/>
                <w:szCs w:val="21"/>
              </w:rPr>
            </w:pPr>
          </w:p>
        </w:tc>
        <w:tc>
          <w:tcPr>
            <w:tcW w:w="1600" w:type="dxa"/>
            <w:vMerge w:val="continue"/>
            <w:vAlign w:val="center"/>
          </w:tcPr>
          <w:p>
            <w:pPr>
              <w:adjustRightInd w:val="0"/>
              <w:snapToGrid w:val="0"/>
              <w:rPr>
                <w:rFonts w:ascii="Times New Roman" w:hAnsi="Times New Roman" w:cs="Times New Roman"/>
                <w:szCs w:val="21"/>
              </w:rPr>
            </w:pPr>
          </w:p>
        </w:tc>
        <w:tc>
          <w:tcPr>
            <w:tcW w:w="792" w:type="dxa"/>
            <w:shd w:val="clear" w:color="auto" w:fill="auto"/>
            <w:vAlign w:val="center"/>
          </w:tcPr>
          <w:p>
            <w:pPr>
              <w:pStyle w:val="31"/>
            </w:pPr>
            <w:r>
              <w:rPr>
                <w:rFonts w:eastAsiaTheme="minorEastAsia"/>
                <w:kern w:val="0"/>
              </w:rPr>
              <w:t>污染物排放管控</w:t>
            </w:r>
          </w:p>
        </w:tc>
        <w:tc>
          <w:tcPr>
            <w:tcW w:w="8808" w:type="dxa"/>
            <w:shd w:val="clear" w:color="auto" w:fill="auto"/>
            <w:vAlign w:val="center"/>
          </w:tcPr>
          <w:p>
            <w:pPr>
              <w:pStyle w:val="31"/>
              <w:rPr>
                <w:rFonts w:eastAsiaTheme="minorEastAsia"/>
              </w:rPr>
            </w:pPr>
            <w:r>
              <w:rPr>
                <w:rFonts w:eastAsiaTheme="minorEastAsia"/>
              </w:rPr>
              <w:t>1、逐步完成工业集聚区集中式污水处理设施建设，确保已建污水处理设施稳定运行及达标排放。园区集中式污水处理设施总排口安装自动监控系统、视频监控系统，并与生态环境主管部门联网。按照“清污分流、雨污分流”原则，实施废水分类收集、分质处理。</w:t>
            </w:r>
          </w:p>
          <w:p>
            <w:pPr>
              <w:pStyle w:val="31"/>
              <w:rPr>
                <w:rFonts w:eastAsiaTheme="minorEastAsia"/>
              </w:rPr>
            </w:pPr>
            <w:r>
              <w:rPr>
                <w:rFonts w:eastAsiaTheme="minorEastAsia"/>
              </w:rPr>
              <w:t>2、园区及园区企业排放水污染物，要满足国家或者地方规定的水污染物排放标准和重点水污染物排放总量控制指标。直接外排水环境的，执行国家或者地方规定的标准要求；经城镇污水集中处理设施处理后排放的，执行市政部门管理要求；经园区污水集中处理设施处理后排放的，执行园区管理部门相关要求。</w:t>
            </w:r>
          </w:p>
          <w:p>
            <w:pPr>
              <w:pStyle w:val="31"/>
              <w:rPr>
                <w:rFonts w:eastAsiaTheme="minorEastAsia"/>
              </w:rPr>
            </w:pPr>
            <w:r>
              <w:rPr>
                <w:rFonts w:eastAsiaTheme="minorEastAsia"/>
              </w:rPr>
              <w:t>3、强化工业企业无组织排放管理。</w:t>
            </w:r>
          </w:p>
          <w:p>
            <w:pPr>
              <w:pStyle w:val="31"/>
              <w:rPr>
                <w:rFonts w:eastAsiaTheme="minorEastAsia"/>
              </w:rPr>
            </w:pPr>
            <w:r>
              <w:rPr>
                <w:rFonts w:eastAsiaTheme="minorEastAsia"/>
              </w:rPr>
              <w:t>4、推动重点行业挥发性有机物（VOCs）污染防治，强化企业精细化管控、无组织废气排放控制以及高效治污设施建设，严格控制挥发性有机污染物排放。</w:t>
            </w:r>
          </w:p>
          <w:p>
            <w:pPr>
              <w:pStyle w:val="31"/>
              <w:rPr>
                <w:rFonts w:eastAsiaTheme="minorEastAsia"/>
              </w:rPr>
            </w:pPr>
            <w:r>
              <w:rPr>
                <w:rFonts w:eastAsiaTheme="minorEastAsia"/>
              </w:rPr>
              <w:t>5、矿产资源勘查以及采选过程中排土场、露天采场、尾矿库、矿区专用道路、矿山工业场地、沉陷区、矸石场、矿山污染场地等的生态环境保护与治理恢复工作须满足《矿山生态环境保护与恢复治理技术规范（试行）》（HJ651-2013）要求。落实边开采、边保护、边复垦的要求，使新建、在建矿山损毁土地得到全面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0" w:hRule="atLeast"/>
        </w:trPr>
        <w:tc>
          <w:tcPr>
            <w:tcW w:w="1984" w:type="dxa"/>
            <w:vMerge w:val="continue"/>
            <w:vAlign w:val="center"/>
          </w:tcPr>
          <w:p>
            <w:pPr>
              <w:adjustRightInd w:val="0"/>
              <w:snapToGrid w:val="0"/>
              <w:rPr>
                <w:rFonts w:ascii="Times New Roman" w:hAnsi="Times New Roman" w:cs="Times New Roman"/>
                <w:szCs w:val="21"/>
              </w:rPr>
            </w:pPr>
          </w:p>
        </w:tc>
        <w:tc>
          <w:tcPr>
            <w:tcW w:w="1994" w:type="dxa"/>
            <w:vMerge w:val="continue"/>
            <w:vAlign w:val="center"/>
          </w:tcPr>
          <w:p>
            <w:pPr>
              <w:adjustRightInd w:val="0"/>
              <w:snapToGrid w:val="0"/>
              <w:rPr>
                <w:rFonts w:ascii="Times New Roman" w:hAnsi="Times New Roman" w:eastAsia="宋体" w:cs="Times New Roman"/>
                <w:kern w:val="0"/>
                <w:szCs w:val="21"/>
              </w:rPr>
            </w:pPr>
          </w:p>
        </w:tc>
        <w:tc>
          <w:tcPr>
            <w:tcW w:w="1600" w:type="dxa"/>
            <w:vMerge w:val="continue"/>
            <w:vAlign w:val="center"/>
          </w:tcPr>
          <w:p>
            <w:pPr>
              <w:adjustRightInd w:val="0"/>
              <w:snapToGrid w:val="0"/>
              <w:rPr>
                <w:rFonts w:ascii="Times New Roman" w:hAnsi="Times New Roman" w:cs="Times New Roman"/>
                <w:szCs w:val="21"/>
              </w:rPr>
            </w:pPr>
          </w:p>
        </w:tc>
        <w:tc>
          <w:tcPr>
            <w:tcW w:w="792" w:type="dxa"/>
            <w:shd w:val="clear" w:color="auto" w:fill="auto"/>
            <w:vAlign w:val="center"/>
          </w:tcPr>
          <w:p>
            <w:pPr>
              <w:pStyle w:val="31"/>
            </w:pPr>
            <w:r>
              <w:rPr>
                <w:rFonts w:eastAsiaTheme="minorEastAsia"/>
                <w:kern w:val="0"/>
              </w:rPr>
              <w:t>环境风险防控</w:t>
            </w:r>
          </w:p>
        </w:tc>
        <w:tc>
          <w:tcPr>
            <w:tcW w:w="8808" w:type="dxa"/>
            <w:shd w:val="clear" w:color="auto" w:fill="auto"/>
            <w:vAlign w:val="center"/>
          </w:tcPr>
          <w:p>
            <w:pPr>
              <w:rPr>
                <w:rFonts w:ascii="Times New Roman" w:hAnsi="Times New Roman" w:cs="Times New Roman"/>
              </w:rPr>
            </w:pPr>
            <w:r>
              <w:rPr>
                <w:rFonts w:ascii="Times New Roman" w:hAnsi="Times New Roman" w:cs="Times New Roman"/>
              </w:rPr>
              <w:t>1、开展环境风险评估，制定突发环境事件应急预案并备案，配备应急能力和物资，建设环境应急队伍，并定期演练。企业、园区与地方人民政府环境应急预案应当有机衔接。</w:t>
            </w:r>
          </w:p>
          <w:p>
            <w:pPr>
              <w:rPr>
                <w:rFonts w:ascii="Times New Roman" w:hAnsi="Times New Roman" w:cs="Times New Roman"/>
                <w:szCs w:val="21"/>
              </w:rPr>
            </w:pPr>
            <w:r>
              <w:rPr>
                <w:rFonts w:ascii="Times New Roman" w:hAnsi="Times New Roman" w:cs="Times New Roman"/>
              </w:rPr>
              <w:t>2、推动挥发性有机物（VOCs）污染防治，对现有排放挥发性有机废气的企业进行升级改造，逐步淘汰挥发性有机化合物含量高的产品，鼓励生产、销售和使用低毒、低挥发性有机溶剂。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7" w:hRule="atLeast"/>
        </w:trPr>
        <w:tc>
          <w:tcPr>
            <w:tcW w:w="1984" w:type="dxa"/>
            <w:vMerge w:val="continue"/>
            <w:vAlign w:val="center"/>
          </w:tcPr>
          <w:p>
            <w:pPr>
              <w:adjustRightInd w:val="0"/>
              <w:snapToGrid w:val="0"/>
              <w:rPr>
                <w:rFonts w:ascii="Times New Roman" w:hAnsi="Times New Roman" w:cs="Times New Roman"/>
                <w:szCs w:val="21"/>
              </w:rPr>
            </w:pPr>
          </w:p>
        </w:tc>
        <w:tc>
          <w:tcPr>
            <w:tcW w:w="1994" w:type="dxa"/>
            <w:vMerge w:val="continue"/>
            <w:vAlign w:val="center"/>
          </w:tcPr>
          <w:p>
            <w:pPr>
              <w:adjustRightInd w:val="0"/>
              <w:snapToGrid w:val="0"/>
              <w:rPr>
                <w:rFonts w:ascii="Times New Roman" w:hAnsi="Times New Roman" w:eastAsia="宋体" w:cs="Times New Roman"/>
                <w:kern w:val="0"/>
                <w:szCs w:val="21"/>
              </w:rPr>
            </w:pPr>
          </w:p>
        </w:tc>
        <w:tc>
          <w:tcPr>
            <w:tcW w:w="1600" w:type="dxa"/>
            <w:vMerge w:val="continue"/>
            <w:vAlign w:val="center"/>
          </w:tcPr>
          <w:p>
            <w:pPr>
              <w:adjustRightInd w:val="0"/>
              <w:snapToGrid w:val="0"/>
              <w:rPr>
                <w:rFonts w:ascii="Times New Roman" w:hAnsi="Times New Roman" w:cs="Times New Roman"/>
                <w:szCs w:val="21"/>
              </w:rPr>
            </w:pPr>
          </w:p>
        </w:tc>
        <w:tc>
          <w:tcPr>
            <w:tcW w:w="792" w:type="dxa"/>
            <w:shd w:val="clear" w:color="auto" w:fill="auto"/>
            <w:vAlign w:val="center"/>
          </w:tcPr>
          <w:p>
            <w:pPr>
              <w:pStyle w:val="31"/>
            </w:pPr>
            <w:r>
              <w:rPr>
                <w:rFonts w:eastAsiaTheme="minorEastAsia"/>
              </w:rPr>
              <w:t>资源开发利用效率要求</w:t>
            </w:r>
          </w:p>
        </w:tc>
        <w:tc>
          <w:tcPr>
            <w:tcW w:w="8808" w:type="dxa"/>
            <w:shd w:val="clear" w:color="auto" w:fill="auto"/>
            <w:vAlign w:val="center"/>
          </w:tcPr>
          <w:p>
            <w:pPr>
              <w:rPr>
                <w:rFonts w:ascii="Times New Roman" w:hAnsi="Times New Roman" w:cs="Times New Roman"/>
              </w:rPr>
            </w:pPr>
            <w:r>
              <w:rPr>
                <w:rFonts w:ascii="Times New Roman" w:hAnsi="Times New Roman" w:cs="Times New Roman"/>
                <w:szCs w:val="21"/>
              </w:rPr>
              <w:t>1</w:t>
            </w:r>
            <w:r>
              <w:rPr>
                <w:rFonts w:ascii="Times New Roman" w:hAnsi="Times New Roman" w:cs="Times New Roman"/>
              </w:rPr>
              <w:t>、推行强制性清洁生产审核，督促园区内工业企业采用先进的清洁技术和工艺，提高物料回用率，引入废水资源化技术，全面提高清洁生产水平。</w:t>
            </w:r>
          </w:p>
          <w:p>
            <w:pPr>
              <w:rPr>
                <w:rFonts w:ascii="Times New Roman" w:hAnsi="Times New Roman" w:cs="Times New Roman"/>
                <w:szCs w:val="21"/>
              </w:rPr>
            </w:pPr>
            <w:r>
              <w:rPr>
                <w:rFonts w:ascii="Times New Roman" w:hAnsi="Times New Roman" w:cs="Times New Roman"/>
              </w:rPr>
              <w:t>2、推进区域土地节约集约利用，优先保障区域主导产业发展用地。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1" w:hRule="atLeast"/>
        </w:trPr>
        <w:tc>
          <w:tcPr>
            <w:tcW w:w="1984"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ZH45072220002</w:t>
            </w:r>
          </w:p>
        </w:tc>
        <w:tc>
          <w:tcPr>
            <w:tcW w:w="1994" w:type="dxa"/>
            <w:vMerge w:val="restart"/>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浦北县工业园区重点管控单元</w:t>
            </w:r>
          </w:p>
        </w:tc>
        <w:tc>
          <w:tcPr>
            <w:tcW w:w="1600"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08" w:type="dxa"/>
            <w:shd w:val="clear" w:color="auto" w:fill="auto"/>
            <w:vAlign w:val="center"/>
          </w:tcPr>
          <w:p>
            <w:pPr>
              <w:rPr>
                <w:rFonts w:ascii="Times New Roman" w:hAnsi="Times New Roman" w:cs="Times New Roman"/>
              </w:rPr>
            </w:pPr>
            <w:r>
              <w:rPr>
                <w:rFonts w:ascii="Times New Roman" w:hAnsi="Times New Roman" w:cs="Times New Roman"/>
              </w:rPr>
              <w:t>1、引进的项目必须符合国家、自治区产业政策、供地政策及园区产业定位。</w:t>
            </w:r>
          </w:p>
          <w:p>
            <w:pPr>
              <w:rPr>
                <w:rFonts w:ascii="Times New Roman" w:hAnsi="Times New Roman" w:cs="Times New Roman"/>
              </w:rPr>
            </w:pPr>
            <w:r>
              <w:rPr>
                <w:rFonts w:ascii="Times New Roman" w:hAnsi="Times New Roman" w:cs="Times New Roman"/>
              </w:rPr>
              <w:t>2、按照园区产业定位严格控制引进的项目在区域环境承载能力范围内。</w:t>
            </w:r>
          </w:p>
          <w:p>
            <w:pPr>
              <w:rPr>
                <w:rFonts w:ascii="Times New Roman" w:hAnsi="Times New Roman" w:cs="Times New Roman"/>
              </w:rPr>
            </w:pPr>
            <w:r>
              <w:rPr>
                <w:rFonts w:ascii="Times New Roman" w:hAnsi="Times New Roman" w:cs="Times New Roman"/>
              </w:rPr>
              <w:t>3、居住用地周边严控布局潜在污染扰民和环境风险突出的建设项目。</w:t>
            </w:r>
          </w:p>
          <w:p>
            <w:pPr>
              <w:rPr>
                <w:rFonts w:ascii="Times New Roman" w:hAnsi="Times New Roman" w:cs="Times New Roman"/>
              </w:rPr>
            </w:pPr>
            <w:r>
              <w:rPr>
                <w:rFonts w:ascii="Times New Roman" w:hAnsi="Times New Roman" w:cs="Times New Roman"/>
              </w:rPr>
              <w:t>4、优化空间分布，严控环境风险，合理布局生产装置及危险化学品仓储等设施。</w:t>
            </w:r>
          </w:p>
          <w:p>
            <w:pPr>
              <w:rPr>
                <w:rFonts w:ascii="Times New Roman" w:hAnsi="Times New Roman" w:cs="Times New Roman"/>
              </w:rPr>
            </w:pPr>
            <w:r>
              <w:rPr>
                <w:rFonts w:ascii="Times New Roman" w:hAnsi="Times New Roman" w:cs="Times New Roman"/>
              </w:rPr>
              <w:t>5、优先引进清洁生产和循环经济项目，着力提升产业层次，构建绿色现代工业集群。</w:t>
            </w:r>
          </w:p>
          <w:p>
            <w:pPr>
              <w:adjustRightInd w:val="0"/>
              <w:snapToGrid w:val="0"/>
              <w:rPr>
                <w:rFonts w:ascii="Times New Roman" w:hAnsi="Times New Roman" w:cs="Times New Roman"/>
                <w:szCs w:val="21"/>
              </w:rPr>
            </w:pPr>
            <w:r>
              <w:rPr>
                <w:rFonts w:ascii="Times New Roman" w:hAnsi="Times New Roman" w:cs="Times New Roman"/>
              </w:rPr>
              <w:t>6、合理规划居住区与工业区，在居住区和工业区、工业企业之间设置防护绿地、生活绿地等隔离带。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5" w:hRule="atLeast"/>
        </w:trPr>
        <w:tc>
          <w:tcPr>
            <w:tcW w:w="1984" w:type="dxa"/>
            <w:vMerge w:val="continue"/>
            <w:vAlign w:val="center"/>
          </w:tcPr>
          <w:p>
            <w:pPr>
              <w:adjustRightInd w:val="0"/>
              <w:snapToGrid w:val="0"/>
              <w:rPr>
                <w:rFonts w:ascii="Times New Roman" w:hAnsi="Times New Roman" w:cs="Times New Roman"/>
                <w:szCs w:val="21"/>
              </w:rPr>
            </w:pPr>
          </w:p>
        </w:tc>
        <w:tc>
          <w:tcPr>
            <w:tcW w:w="1994" w:type="dxa"/>
            <w:vMerge w:val="continue"/>
            <w:vAlign w:val="center"/>
          </w:tcPr>
          <w:p>
            <w:pPr>
              <w:adjustRightInd w:val="0"/>
              <w:snapToGrid w:val="0"/>
              <w:rPr>
                <w:rFonts w:ascii="Times New Roman" w:hAnsi="Times New Roman" w:eastAsia="宋体" w:cs="Times New Roman"/>
                <w:kern w:val="0"/>
                <w:szCs w:val="21"/>
              </w:rPr>
            </w:pPr>
          </w:p>
        </w:tc>
        <w:tc>
          <w:tcPr>
            <w:tcW w:w="1600" w:type="dxa"/>
            <w:vMerge w:val="continue"/>
            <w:vAlign w:val="center"/>
          </w:tcPr>
          <w:p>
            <w:pPr>
              <w:adjustRightInd w:val="0"/>
              <w:snapToGrid w:val="0"/>
              <w:rPr>
                <w:rFonts w:ascii="Times New Roman" w:hAnsi="Times New Roman" w:cs="Times New Roman"/>
                <w:szCs w:val="21"/>
              </w:rPr>
            </w:pP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808" w:type="dxa"/>
            <w:shd w:val="clear" w:color="auto" w:fill="auto"/>
            <w:vAlign w:val="center"/>
          </w:tcPr>
          <w:p>
            <w:pPr>
              <w:pStyle w:val="31"/>
              <w:rPr>
                <w:rFonts w:eastAsiaTheme="minorEastAsia"/>
              </w:rPr>
            </w:pPr>
            <w:r>
              <w:rPr>
                <w:rFonts w:eastAsiaTheme="minorEastAsia"/>
              </w:rPr>
              <w:t>1、逐步完成工业集聚区集中式污水处理设施建设，确保已建污水处理设施稳定运行及达标排放。园区集中式污水处理设施总排口安装自动监控系统、视频监控系统，并与生态环境主管部门联网。按照“清污分流、雨污分流”原则，实施废水分类收集、分质处理。</w:t>
            </w:r>
          </w:p>
          <w:p>
            <w:pPr>
              <w:pStyle w:val="31"/>
              <w:rPr>
                <w:rFonts w:eastAsiaTheme="minorEastAsia"/>
              </w:rPr>
            </w:pPr>
            <w:r>
              <w:rPr>
                <w:rFonts w:eastAsiaTheme="minorEastAsia"/>
              </w:rPr>
              <w:t>2、园区及园区企业排放水污染物，要满足国家或者地方规定的水污染物排放标准和重点水污染物排放总量控制指标。直接外排水环境的，执行国家或者地方规定的标准要求；经城镇污水集中处理设施处理后排放的，执行市政部门管理要求；经园区污水集中处理设施处理后排放的，执行园区管理部门相关要求。</w:t>
            </w:r>
          </w:p>
          <w:p>
            <w:pPr>
              <w:adjustRightInd w:val="0"/>
              <w:snapToGrid w:val="0"/>
              <w:rPr>
                <w:rFonts w:ascii="Times New Roman" w:hAnsi="Times New Roman" w:cs="Times New Roman"/>
                <w:szCs w:val="21"/>
              </w:rPr>
            </w:pPr>
            <w:r>
              <w:rPr>
                <w:rFonts w:ascii="Times New Roman" w:hAnsi="Times New Roman" w:cs="Times New Roman"/>
              </w:rPr>
              <w:t>3、强化工业企业无组织排放管理。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1984" w:type="dxa"/>
            <w:vMerge w:val="continue"/>
            <w:vAlign w:val="center"/>
          </w:tcPr>
          <w:p>
            <w:pPr>
              <w:adjustRightInd w:val="0"/>
              <w:snapToGrid w:val="0"/>
              <w:rPr>
                <w:rFonts w:ascii="Times New Roman" w:hAnsi="Times New Roman" w:cs="Times New Roman"/>
                <w:szCs w:val="21"/>
              </w:rPr>
            </w:pPr>
          </w:p>
        </w:tc>
        <w:tc>
          <w:tcPr>
            <w:tcW w:w="1994" w:type="dxa"/>
            <w:vMerge w:val="continue"/>
            <w:vAlign w:val="center"/>
          </w:tcPr>
          <w:p>
            <w:pPr>
              <w:adjustRightInd w:val="0"/>
              <w:snapToGrid w:val="0"/>
              <w:rPr>
                <w:rFonts w:ascii="Times New Roman" w:hAnsi="Times New Roman" w:eastAsia="宋体" w:cs="Times New Roman"/>
                <w:kern w:val="0"/>
                <w:szCs w:val="21"/>
              </w:rPr>
            </w:pPr>
          </w:p>
        </w:tc>
        <w:tc>
          <w:tcPr>
            <w:tcW w:w="1600" w:type="dxa"/>
            <w:vMerge w:val="continue"/>
            <w:vAlign w:val="center"/>
          </w:tcPr>
          <w:p>
            <w:pPr>
              <w:adjustRightInd w:val="0"/>
              <w:snapToGrid w:val="0"/>
              <w:rPr>
                <w:rFonts w:ascii="Times New Roman" w:hAnsi="Times New Roman" w:cs="Times New Roman"/>
                <w:szCs w:val="21"/>
              </w:rPr>
            </w:pP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80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开展环境风险评估，制定突发环境事件应急预案并备案，配备应急能力和物资，建设环境应急队伍，并定期演练。企业、园区与地方人民政府环境应急预案应当有机衔接。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7" w:hRule="atLeast"/>
        </w:trPr>
        <w:tc>
          <w:tcPr>
            <w:tcW w:w="1984" w:type="dxa"/>
            <w:vMerge w:val="continue"/>
            <w:vAlign w:val="center"/>
          </w:tcPr>
          <w:p>
            <w:pPr>
              <w:adjustRightInd w:val="0"/>
              <w:snapToGrid w:val="0"/>
              <w:rPr>
                <w:rFonts w:ascii="Times New Roman" w:hAnsi="Times New Roman" w:cs="Times New Roman"/>
                <w:szCs w:val="21"/>
              </w:rPr>
            </w:pPr>
          </w:p>
        </w:tc>
        <w:tc>
          <w:tcPr>
            <w:tcW w:w="1994" w:type="dxa"/>
            <w:vMerge w:val="continue"/>
            <w:vAlign w:val="center"/>
          </w:tcPr>
          <w:p>
            <w:pPr>
              <w:adjustRightInd w:val="0"/>
              <w:snapToGrid w:val="0"/>
              <w:rPr>
                <w:rFonts w:ascii="Times New Roman" w:hAnsi="Times New Roman" w:eastAsia="宋体" w:cs="Times New Roman"/>
                <w:kern w:val="0"/>
                <w:szCs w:val="21"/>
              </w:rPr>
            </w:pPr>
          </w:p>
        </w:tc>
        <w:tc>
          <w:tcPr>
            <w:tcW w:w="1600" w:type="dxa"/>
            <w:vMerge w:val="continue"/>
            <w:vAlign w:val="center"/>
          </w:tcPr>
          <w:p>
            <w:pPr>
              <w:adjustRightInd w:val="0"/>
              <w:snapToGrid w:val="0"/>
              <w:rPr>
                <w:rFonts w:ascii="Times New Roman" w:hAnsi="Times New Roman" w:cs="Times New Roman"/>
                <w:szCs w:val="21"/>
              </w:rPr>
            </w:pPr>
          </w:p>
        </w:tc>
        <w:tc>
          <w:tcPr>
            <w:tcW w:w="792" w:type="dxa"/>
            <w:shd w:val="clear" w:color="auto" w:fill="auto"/>
            <w:vAlign w:val="center"/>
          </w:tcPr>
          <w:p>
            <w:pPr>
              <w:pStyle w:val="31"/>
            </w:pPr>
            <w:r>
              <w:rPr>
                <w:rFonts w:eastAsiaTheme="minorEastAsia"/>
              </w:rPr>
              <w:t>资源开发利用效率要求</w:t>
            </w:r>
          </w:p>
        </w:tc>
        <w:tc>
          <w:tcPr>
            <w:tcW w:w="8808" w:type="dxa"/>
            <w:shd w:val="clear" w:color="auto" w:fill="auto"/>
            <w:vAlign w:val="center"/>
          </w:tcPr>
          <w:p>
            <w:pPr>
              <w:rPr>
                <w:rFonts w:ascii="Times New Roman" w:hAnsi="Times New Roman" w:cs="Times New Roman"/>
              </w:rPr>
            </w:pPr>
            <w:r>
              <w:rPr>
                <w:rFonts w:ascii="Times New Roman" w:hAnsi="Times New Roman" w:cs="Times New Roman"/>
                <w:szCs w:val="21"/>
              </w:rPr>
              <w:t>1</w:t>
            </w:r>
            <w:r>
              <w:rPr>
                <w:rFonts w:ascii="Times New Roman" w:hAnsi="Times New Roman" w:cs="Times New Roman"/>
              </w:rPr>
              <w:t>、推行强制性清洁生产审核，督促园区内工业企业采用先进的清洁技术和工艺，提高物料回用率，引入废水资源化技术，全面提高清洁生产水平。</w:t>
            </w:r>
          </w:p>
          <w:p>
            <w:pPr>
              <w:rPr>
                <w:rFonts w:ascii="Times New Roman" w:hAnsi="Times New Roman" w:cs="Times New Roman"/>
                <w:szCs w:val="21"/>
              </w:rPr>
            </w:pPr>
            <w:r>
              <w:rPr>
                <w:rFonts w:ascii="Times New Roman" w:hAnsi="Times New Roman" w:cs="Times New Roman"/>
              </w:rPr>
              <w:t>2、推进区域土地节约集约利用，优先保障区域主导产业发展用地。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5" w:hRule="atLeast"/>
        </w:trPr>
        <w:tc>
          <w:tcPr>
            <w:tcW w:w="1984"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ZH45072220003</w:t>
            </w:r>
          </w:p>
        </w:tc>
        <w:tc>
          <w:tcPr>
            <w:tcW w:w="1994" w:type="dxa"/>
            <w:vMerge w:val="restart"/>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浦北县城镇空间重点管控单元</w:t>
            </w:r>
          </w:p>
        </w:tc>
        <w:tc>
          <w:tcPr>
            <w:tcW w:w="1600"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08" w:type="dxa"/>
            <w:shd w:val="clear" w:color="auto" w:fill="auto"/>
            <w:vAlign w:val="center"/>
          </w:tcPr>
          <w:p>
            <w:pPr>
              <w:snapToGrid w:val="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在城市建成区内，禁止新建、改建、扩建产生恶臭气体的项目，禁止贮存、加工、制造或者使用产生恶臭气体的物质；公共服务设施垃圾转运站项目可按《生活垃圾转运站技术规范》（CJJ/T47-2016）实施。</w:t>
            </w:r>
          </w:p>
          <w:p>
            <w:pPr>
              <w:snapToGrid w:val="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城市建成区内的钢铁、石油、化工、有色金属、水泥、平板玻璃、建筑陶瓷、砖瓦等行业中的高排放、高污染项目，应当逐步进行搬迁、改造或者转型、退出。</w:t>
            </w:r>
          </w:p>
          <w:p>
            <w:pPr>
              <w:snapToGrid w:val="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、城市市区、镇和村庄居民区、文化教育科学研究区等人口集中区域禁止设置畜禽养殖场、养殖小区。</w:t>
            </w:r>
          </w:p>
          <w:p>
            <w:pPr>
              <w:snapToGrid w:val="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、禁止在居民区和学校、医院、疗养院、养老院等单位周边新建、改建、扩建可能造成土壤污染的建设项目。禁止在人口聚居区域内新（改、扩）建涉重金属企业。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4" w:hRule="atLeast"/>
        </w:trPr>
        <w:tc>
          <w:tcPr>
            <w:tcW w:w="1984" w:type="dxa"/>
            <w:vMerge w:val="continue"/>
            <w:vAlign w:val="center"/>
          </w:tcPr>
          <w:p>
            <w:pPr>
              <w:adjustRightInd w:val="0"/>
              <w:snapToGrid w:val="0"/>
              <w:rPr>
                <w:rFonts w:ascii="Times New Roman" w:hAnsi="Times New Roman" w:cs="Times New Roman"/>
                <w:szCs w:val="21"/>
              </w:rPr>
            </w:pPr>
          </w:p>
        </w:tc>
        <w:tc>
          <w:tcPr>
            <w:tcW w:w="1994" w:type="dxa"/>
            <w:vMerge w:val="continue"/>
            <w:vAlign w:val="center"/>
          </w:tcPr>
          <w:p>
            <w:pPr>
              <w:adjustRightInd w:val="0"/>
              <w:snapToGrid w:val="0"/>
              <w:rPr>
                <w:rFonts w:ascii="Times New Roman" w:hAnsi="Times New Roman" w:eastAsia="宋体" w:cs="Times New Roman"/>
                <w:kern w:val="0"/>
                <w:szCs w:val="21"/>
              </w:rPr>
            </w:pPr>
          </w:p>
        </w:tc>
        <w:tc>
          <w:tcPr>
            <w:tcW w:w="1600" w:type="dxa"/>
            <w:vMerge w:val="continue"/>
            <w:vAlign w:val="center"/>
          </w:tcPr>
          <w:p>
            <w:pPr>
              <w:adjustRightInd w:val="0"/>
              <w:snapToGrid w:val="0"/>
              <w:rPr>
                <w:rFonts w:ascii="Times New Roman" w:hAnsi="Times New Roman" w:cs="Times New Roman"/>
                <w:szCs w:val="21"/>
              </w:rPr>
            </w:pP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808" w:type="dxa"/>
            <w:shd w:val="clear" w:color="auto" w:fill="auto"/>
            <w:vAlign w:val="center"/>
          </w:tcPr>
          <w:p>
            <w:pPr>
              <w:rPr>
                <w:rFonts w:ascii="Times New Roman" w:hAnsi="Times New Roman" w:cs="Times New Roman"/>
                <w:szCs w:val="21"/>
              </w:rPr>
            </w:pPr>
            <w:r>
              <w:rPr>
                <w:rFonts w:ascii="Times New Roman" w:hAnsi="Times New Roman" w:cs="Times New Roman"/>
                <w:szCs w:val="21"/>
              </w:rPr>
              <w:t>1、加大燃煤小锅炉淘汰力度。依法依规加快淘汰老旧柴油货车。严格控制施工和道路扬尘污染。禁止露天焚烧产生有毒有害烟尘和恶臭气体的物质。鼓励建筑装修、汽修喷涂作业、干洗等行业，使用低毒、低挥发性溶剂。</w:t>
            </w:r>
          </w:p>
          <w:p>
            <w:pPr>
              <w:rPr>
                <w:rFonts w:ascii="Times New Roman" w:hAnsi="Times New Roman" w:cs="Times New Roman"/>
              </w:rPr>
            </w:pPr>
            <w:r>
              <w:rPr>
                <w:rFonts w:ascii="Times New Roman" w:hAnsi="Times New Roman" w:cs="Times New Roman"/>
              </w:rPr>
              <w:t>2、规划产业园区建设应同步完善污水处理设施及管网建设；园区及园区企业主要污染物排放应控制在区域环境承载能力范围内，确保环境质量达标。</w:t>
            </w:r>
          </w:p>
          <w:p>
            <w:pPr>
              <w:rPr>
                <w:rFonts w:ascii="Times New Roman" w:hAnsi="Times New Roman" w:cs="Times New Roman"/>
              </w:rPr>
            </w:pPr>
            <w:r>
              <w:rPr>
                <w:rFonts w:ascii="Times New Roman" w:hAnsi="Times New Roman" w:cs="Times New Roman"/>
              </w:rPr>
              <w:t>3、设区市建成区基本消除生活污水直排口，有效杜绝污水直排水体。</w:t>
            </w:r>
          </w:p>
          <w:p>
            <w:pPr>
              <w:adjustRightInd w:val="0"/>
              <w:snapToGrid w:val="0"/>
              <w:rPr>
                <w:rFonts w:ascii="Times New Roman" w:hAnsi="Times New Roman" w:cs="Times New Roman"/>
                <w:szCs w:val="21"/>
              </w:rPr>
            </w:pPr>
            <w:r>
              <w:rPr>
                <w:rFonts w:ascii="Times New Roman" w:hAnsi="Times New Roman" w:cs="Times New Roman"/>
              </w:rPr>
              <w:t>4、提高污水处理能力，完善既有污水处理厂和新建、扩建污水处理厂配套管网建设，基本实现城中村、老旧城区和城乡结合部生活污水收集处理。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1984"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ZH45072220004</w:t>
            </w:r>
          </w:p>
        </w:tc>
        <w:tc>
          <w:tcPr>
            <w:tcW w:w="1994" w:type="dxa"/>
            <w:vMerge w:val="restart"/>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浦北县农业空间重点管控单元</w:t>
            </w:r>
          </w:p>
        </w:tc>
        <w:tc>
          <w:tcPr>
            <w:tcW w:w="1600"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0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合理确定畜禽养殖和水产养殖空间，严格按照水产养殖规划和畜禽养殖禁养区规定执行。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2" w:hRule="atLeast"/>
        </w:trPr>
        <w:tc>
          <w:tcPr>
            <w:tcW w:w="1984" w:type="dxa"/>
            <w:vMerge w:val="continue"/>
            <w:vAlign w:val="center"/>
          </w:tcPr>
          <w:p>
            <w:pPr>
              <w:adjustRightInd w:val="0"/>
              <w:snapToGrid w:val="0"/>
              <w:rPr>
                <w:rFonts w:ascii="Times New Roman" w:hAnsi="Times New Roman" w:cs="Times New Roman"/>
                <w:szCs w:val="21"/>
              </w:rPr>
            </w:pPr>
          </w:p>
        </w:tc>
        <w:tc>
          <w:tcPr>
            <w:tcW w:w="1994" w:type="dxa"/>
            <w:vMerge w:val="continue"/>
            <w:vAlign w:val="center"/>
          </w:tcPr>
          <w:p>
            <w:pPr>
              <w:adjustRightInd w:val="0"/>
              <w:snapToGrid w:val="0"/>
              <w:rPr>
                <w:rFonts w:ascii="Times New Roman" w:hAnsi="Times New Roman" w:eastAsia="宋体" w:cs="Times New Roman"/>
                <w:kern w:val="0"/>
                <w:szCs w:val="21"/>
              </w:rPr>
            </w:pPr>
          </w:p>
        </w:tc>
        <w:tc>
          <w:tcPr>
            <w:tcW w:w="1600" w:type="dxa"/>
            <w:vMerge w:val="continue"/>
            <w:vAlign w:val="center"/>
          </w:tcPr>
          <w:p>
            <w:pPr>
              <w:adjustRightInd w:val="0"/>
              <w:snapToGrid w:val="0"/>
              <w:rPr>
                <w:rFonts w:ascii="Times New Roman" w:hAnsi="Times New Roman" w:cs="Times New Roman"/>
                <w:szCs w:val="21"/>
              </w:rPr>
            </w:pP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808" w:type="dxa"/>
            <w:shd w:val="clear" w:color="auto" w:fill="auto"/>
            <w:vAlign w:val="center"/>
          </w:tcPr>
          <w:p>
            <w:pPr>
              <w:numPr>
                <w:ilvl w:val="255"/>
                <w:numId w:val="0"/>
              </w:numPr>
              <w:rPr>
                <w:rFonts w:ascii="Times New Roman" w:hAnsi="Times New Roman" w:cs="Times New Roman"/>
              </w:rPr>
            </w:pPr>
            <w:r>
              <w:rPr>
                <w:rFonts w:ascii="Times New Roman" w:hAnsi="Times New Roman" w:cs="Times New Roman"/>
              </w:rPr>
              <w:t>1、加强畜禽养殖污染监管与治理，落实禁、限养政策与养殖退出政策，推动畜禽污染治理工作，促进农户规范养殖、达标排污。</w:t>
            </w:r>
          </w:p>
          <w:p>
            <w:pPr>
              <w:adjustRightInd w:val="0"/>
              <w:snapToGrid w:val="0"/>
              <w:rPr>
                <w:rFonts w:ascii="Times New Roman" w:hAnsi="Times New Roman" w:cs="Times New Roman"/>
              </w:rPr>
            </w:pPr>
            <w:r>
              <w:rPr>
                <w:rFonts w:ascii="Times New Roman" w:hAnsi="Times New Roman" w:cs="Times New Roman"/>
              </w:rPr>
              <w:t>2、对污染严重的畜禽养殖密集区域，应当制定综合整治方案，采取组织建设畜禽养殖废弃物综合利用和无害化处理设施、有计划搬迁或者关闭畜禽养殖场所等措施，对畜禽养殖污染进行治理。</w:t>
            </w:r>
          </w:p>
          <w:p>
            <w:pPr>
              <w:snapToGrid w:val="0"/>
              <w:rPr>
                <w:rFonts w:ascii="Times New Roman" w:hAnsi="Times New Roman" w:cs="Times New Roman"/>
              </w:rPr>
            </w:pPr>
            <w:r>
              <w:rPr>
                <w:rFonts w:ascii="Times New Roman" w:hAnsi="Times New Roman" w:cs="Times New Roman"/>
              </w:rPr>
              <w:t>3、矿产资源勘查以及采选过程中排土场、露天采场、尾矿库、矿区专用道路、矿山工业场地、沉陷区、矸石场、矿山污染场地等的生态环境保护与治理恢复工作须满足《矿山生态环境保护与恢复治理技术规范（试行）》（HJ651-2013）要求。落实边开采、边保护、边复垦的要求，使新建、在建矿山损毁土地得到全面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1984" w:type="dxa"/>
            <w:vMerge w:val="continue"/>
            <w:vAlign w:val="center"/>
          </w:tcPr>
          <w:p>
            <w:pPr>
              <w:adjustRightInd w:val="0"/>
              <w:snapToGrid w:val="0"/>
              <w:rPr>
                <w:rFonts w:ascii="Times New Roman" w:hAnsi="Times New Roman" w:cs="Times New Roman"/>
                <w:szCs w:val="21"/>
              </w:rPr>
            </w:pPr>
          </w:p>
        </w:tc>
        <w:tc>
          <w:tcPr>
            <w:tcW w:w="1994" w:type="dxa"/>
            <w:vMerge w:val="continue"/>
            <w:vAlign w:val="center"/>
          </w:tcPr>
          <w:p>
            <w:pPr>
              <w:adjustRightInd w:val="0"/>
              <w:snapToGrid w:val="0"/>
              <w:rPr>
                <w:rFonts w:ascii="Times New Roman" w:hAnsi="Times New Roman" w:eastAsia="宋体" w:cs="Times New Roman"/>
                <w:kern w:val="0"/>
                <w:szCs w:val="21"/>
              </w:rPr>
            </w:pPr>
          </w:p>
        </w:tc>
        <w:tc>
          <w:tcPr>
            <w:tcW w:w="1600" w:type="dxa"/>
            <w:vMerge w:val="continue"/>
            <w:vAlign w:val="center"/>
          </w:tcPr>
          <w:p>
            <w:pPr>
              <w:adjustRightInd w:val="0"/>
              <w:snapToGrid w:val="0"/>
              <w:rPr>
                <w:rFonts w:ascii="Times New Roman" w:hAnsi="Times New Roman" w:cs="Times New Roman"/>
                <w:szCs w:val="21"/>
              </w:rPr>
            </w:pP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80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向农田灌溉渠道排放城镇污水以及未综合利用的畜禽养殖废水、农产品加工废水的，应当保证其下游最近的灌溉取水点的水质符合农田灌溉水质标准。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1984" w:type="dxa"/>
            <w:vMerge w:val="restart"/>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ZH45072220005</w:t>
            </w:r>
          </w:p>
        </w:tc>
        <w:tc>
          <w:tcPr>
            <w:tcW w:w="1994" w:type="dxa"/>
            <w:vMerge w:val="restart"/>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浦北县合浦高岭土矿区重点管控单元</w:t>
            </w:r>
          </w:p>
        </w:tc>
        <w:tc>
          <w:tcPr>
            <w:tcW w:w="1600"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08" w:type="dxa"/>
            <w:shd w:val="clear" w:color="auto" w:fill="auto"/>
            <w:vAlign w:val="center"/>
          </w:tcPr>
          <w:p>
            <w:pPr>
              <w:numPr>
                <w:ilvl w:val="255"/>
                <w:numId w:val="0"/>
              </w:numPr>
              <w:rPr>
                <w:rFonts w:ascii="Times New Roman" w:hAnsi="Times New Roman" w:cs="Times New Roman"/>
                <w:szCs w:val="21"/>
              </w:rPr>
            </w:pPr>
            <w:r>
              <w:rPr>
                <w:rFonts w:ascii="Times New Roman" w:hAnsi="Times New Roman" w:cs="Times New Roman"/>
                <w:szCs w:val="21"/>
              </w:rPr>
              <w:t>临近生态保护红线的矿产资源勘查开发，应采取有效措施，避免产生不利影响。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6" w:hRule="atLeast"/>
        </w:trPr>
        <w:tc>
          <w:tcPr>
            <w:tcW w:w="1984" w:type="dxa"/>
            <w:vMerge w:val="continue"/>
            <w:vAlign w:val="center"/>
          </w:tcPr>
          <w:p>
            <w:pPr>
              <w:adjustRightInd w:val="0"/>
              <w:snapToGrid w:val="0"/>
              <w:rPr>
                <w:rFonts w:ascii="Times New Roman" w:hAnsi="Times New Roman" w:cs="Times New Roman"/>
                <w:szCs w:val="21"/>
              </w:rPr>
            </w:pPr>
          </w:p>
        </w:tc>
        <w:tc>
          <w:tcPr>
            <w:tcW w:w="1994" w:type="dxa"/>
            <w:vMerge w:val="continue"/>
            <w:vAlign w:val="center"/>
          </w:tcPr>
          <w:p>
            <w:pPr>
              <w:adjustRightInd w:val="0"/>
              <w:snapToGrid w:val="0"/>
              <w:rPr>
                <w:rFonts w:ascii="Times New Roman" w:hAnsi="Times New Roman" w:cs="Times New Roman"/>
                <w:szCs w:val="21"/>
              </w:rPr>
            </w:pPr>
          </w:p>
        </w:tc>
        <w:tc>
          <w:tcPr>
            <w:tcW w:w="1600" w:type="dxa"/>
            <w:vMerge w:val="continue"/>
            <w:vAlign w:val="center"/>
          </w:tcPr>
          <w:p>
            <w:pPr>
              <w:adjustRightInd w:val="0"/>
              <w:snapToGrid w:val="0"/>
              <w:rPr>
                <w:rFonts w:ascii="Times New Roman" w:hAnsi="Times New Roman" w:cs="Times New Roman"/>
                <w:szCs w:val="21"/>
              </w:rPr>
            </w:pP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808" w:type="dxa"/>
            <w:shd w:val="clear" w:color="auto" w:fill="auto"/>
            <w:vAlign w:val="center"/>
          </w:tcPr>
          <w:p>
            <w:pPr>
              <w:numPr>
                <w:ilvl w:val="255"/>
                <w:numId w:val="0"/>
              </w:numPr>
              <w:rPr>
                <w:rFonts w:ascii="Times New Roman" w:hAnsi="Times New Roman" w:cs="Times New Roman"/>
              </w:rPr>
            </w:pPr>
            <w:r>
              <w:rPr>
                <w:rFonts w:ascii="Times New Roman" w:hAnsi="Times New Roman" w:cs="Times New Roman"/>
              </w:rPr>
              <w:t>矿产资源勘查以及采选过程中排土场、露天采场、尾矿库、矿区专用道路、矿山工业场地、沉陷区、矸石场、矿山污染场地等的生态环境保护与治理恢复工作须满足《矿山生态环境保护与恢复治理技术规范（试行）》（HJ651-2013）要求。落实边开采、边保护、边复垦的要求，使新建、在建矿山损毁土地得到全面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1984" w:type="dxa"/>
            <w:vMerge w:val="continue"/>
            <w:vAlign w:val="center"/>
          </w:tcPr>
          <w:p>
            <w:pPr>
              <w:adjustRightInd w:val="0"/>
              <w:snapToGrid w:val="0"/>
              <w:rPr>
                <w:rFonts w:ascii="Times New Roman" w:hAnsi="Times New Roman" w:cs="Times New Roman"/>
                <w:szCs w:val="21"/>
              </w:rPr>
            </w:pPr>
          </w:p>
        </w:tc>
        <w:tc>
          <w:tcPr>
            <w:tcW w:w="1994" w:type="dxa"/>
            <w:vMerge w:val="continue"/>
            <w:vAlign w:val="center"/>
          </w:tcPr>
          <w:p>
            <w:pPr>
              <w:adjustRightInd w:val="0"/>
              <w:snapToGrid w:val="0"/>
              <w:rPr>
                <w:rFonts w:ascii="Times New Roman" w:hAnsi="Times New Roman" w:cs="Times New Roman"/>
                <w:szCs w:val="21"/>
              </w:rPr>
            </w:pPr>
          </w:p>
        </w:tc>
        <w:tc>
          <w:tcPr>
            <w:tcW w:w="1600" w:type="dxa"/>
            <w:vMerge w:val="continue"/>
            <w:vAlign w:val="center"/>
          </w:tcPr>
          <w:p>
            <w:pPr>
              <w:adjustRightInd w:val="0"/>
              <w:snapToGrid w:val="0"/>
              <w:rPr>
                <w:rFonts w:ascii="Times New Roman" w:hAnsi="Times New Roman" w:cs="Times New Roman"/>
                <w:szCs w:val="21"/>
              </w:rPr>
            </w:pP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80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开展环境风险评估，制定突发环境事件应急预案并备案，配备应急能力和物资，建设环境应急队伍，并定期演练。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7" w:hRule="atLeast"/>
        </w:trPr>
        <w:tc>
          <w:tcPr>
            <w:tcW w:w="1984" w:type="dxa"/>
            <w:vMerge w:val="continue"/>
            <w:vAlign w:val="center"/>
          </w:tcPr>
          <w:p>
            <w:pPr>
              <w:adjustRightInd w:val="0"/>
              <w:snapToGrid w:val="0"/>
              <w:rPr>
                <w:rFonts w:ascii="Times New Roman" w:hAnsi="Times New Roman" w:cs="Times New Roman"/>
                <w:szCs w:val="21"/>
              </w:rPr>
            </w:pPr>
          </w:p>
        </w:tc>
        <w:tc>
          <w:tcPr>
            <w:tcW w:w="1994" w:type="dxa"/>
            <w:vMerge w:val="continue"/>
            <w:vAlign w:val="center"/>
          </w:tcPr>
          <w:p>
            <w:pPr>
              <w:adjustRightInd w:val="0"/>
              <w:snapToGrid w:val="0"/>
              <w:rPr>
                <w:rFonts w:ascii="Times New Roman" w:hAnsi="Times New Roman" w:cs="Times New Roman"/>
                <w:szCs w:val="21"/>
              </w:rPr>
            </w:pPr>
          </w:p>
        </w:tc>
        <w:tc>
          <w:tcPr>
            <w:tcW w:w="1600" w:type="dxa"/>
            <w:vMerge w:val="continue"/>
            <w:vAlign w:val="center"/>
          </w:tcPr>
          <w:p>
            <w:pPr>
              <w:adjustRightInd w:val="0"/>
              <w:snapToGrid w:val="0"/>
              <w:rPr>
                <w:rFonts w:ascii="Times New Roman" w:hAnsi="Times New Roman" w:cs="Times New Roman"/>
                <w:szCs w:val="21"/>
              </w:rPr>
            </w:pP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80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1、废石、尾矿等固体废弃物处置率达到100%，矿山选矿废水重复利用率不低于85%。</w:t>
            </w:r>
          </w:p>
          <w:p>
            <w:pPr>
              <w:adjustRightInd w:val="0"/>
              <w:snapToGrid w:val="0"/>
              <w:rPr>
                <w:rFonts w:ascii="Times New Roman" w:hAnsi="Times New Roman" w:cs="Times New Roman"/>
                <w:szCs w:val="21"/>
              </w:rPr>
            </w:pPr>
            <w:r>
              <w:rPr>
                <w:rFonts w:ascii="Times New Roman" w:hAnsi="Times New Roman" w:cs="Times New Roman"/>
                <w:szCs w:val="21"/>
              </w:rPr>
              <w:t>2、高岭土露天开采回采率≥85%、地下开采回采率75%，选矿回收率≥85%，尾矿综合利用率≥98%。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1" w:hRule="atLeast"/>
        </w:trPr>
        <w:tc>
          <w:tcPr>
            <w:tcW w:w="1984" w:type="dxa"/>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ZH45072220006</w:t>
            </w:r>
          </w:p>
        </w:tc>
        <w:tc>
          <w:tcPr>
            <w:tcW w:w="1994" w:type="dxa"/>
            <w:vMerge w:val="restart"/>
            <w:tcBorders>
              <w:top w:val="single" w:color="auto" w:sz="4" w:space="0"/>
              <w:left w:val="nil"/>
              <w:right w:val="single" w:color="auto" w:sz="4" w:space="0"/>
            </w:tcBorders>
            <w:shd w:val="clear" w:color="auto" w:fill="auto"/>
            <w:vAlign w:val="center"/>
          </w:tcPr>
          <w:p>
            <w:pPr>
              <w:widowControl/>
              <w:adjustRightInd w:val="0"/>
              <w:snapToGrid w:val="0"/>
              <w:jc w:val="left"/>
              <w:rPr>
                <w:rFonts w:ascii="Times New Roman" w:hAnsi="Times New Roman" w:cs="Times New Roman"/>
                <w:szCs w:val="21"/>
              </w:rPr>
            </w:pPr>
            <w:r>
              <w:rPr>
                <w:rFonts w:ascii="Times New Roman" w:hAnsi="Times New Roman" w:cs="Times New Roman"/>
                <w:szCs w:val="21"/>
              </w:rPr>
              <w:t>浦北县其他重点管控单元</w:t>
            </w:r>
          </w:p>
        </w:tc>
        <w:tc>
          <w:tcPr>
            <w:tcW w:w="1600" w:type="dxa"/>
            <w:vMerge w:val="restart"/>
            <w:vAlign w:val="center"/>
          </w:tcPr>
          <w:p>
            <w:pPr>
              <w:adjustRightInd w:val="0"/>
              <w:snapToGrid w:val="0"/>
              <w:rPr>
                <w:rFonts w:ascii="Times New Roman" w:hAnsi="Times New Roman" w:cs="Times New Roman"/>
                <w:szCs w:val="21"/>
              </w:rPr>
            </w:pPr>
            <w:r>
              <w:rPr>
                <w:rFonts w:ascii="Times New Roman" w:hAnsi="Times New Roman" w:cs="Times New Roman"/>
                <w:szCs w:val="21"/>
              </w:rPr>
              <w:t>重点管控单元</w:t>
            </w: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08"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1、规划产业园区应当依法依规进行审批。新建企业原则上均应建在产业园区。</w:t>
            </w:r>
          </w:p>
          <w:p>
            <w:pPr>
              <w:pStyle w:val="31"/>
              <w:spacing w:line="400" w:lineRule="exact"/>
            </w:pPr>
            <w:r>
              <w:t>2、入园项目必须符合国家、自治区产业政策、供地政策及园区产业定位。</w:t>
            </w:r>
          </w:p>
          <w:p>
            <w:pPr>
              <w:adjustRightInd w:val="0"/>
              <w:snapToGrid w:val="0"/>
              <w:rPr>
                <w:rFonts w:ascii="Times New Roman" w:hAnsi="Times New Roman" w:cs="Times New Roman"/>
              </w:rPr>
            </w:pPr>
            <w:r>
              <w:rPr>
                <w:rFonts w:ascii="Times New Roman" w:hAnsi="Times New Roman" w:cs="Times New Roman"/>
              </w:rPr>
              <w:t>3、居住用地周边严控布局潜在污染扰民和环境风险突出的建设项目。禁止在居民区和学校、医院、疗养院、养老院等单位周边新建、改建、扩建可能造成土壤污染的建设项目。禁止在人口聚居区域内新（改、扩）建涉重金属企业。</w:t>
            </w:r>
          </w:p>
          <w:p>
            <w:pPr>
              <w:adjustRightInd w:val="0"/>
              <w:snapToGrid w:val="0"/>
              <w:rPr>
                <w:rFonts w:ascii="Times New Roman" w:hAnsi="Times New Roman" w:cs="Times New Roman"/>
              </w:rPr>
            </w:pPr>
            <w:r>
              <w:rPr>
                <w:rFonts w:ascii="Times New Roman" w:hAnsi="Times New Roman" w:cs="Times New Roman"/>
              </w:rPr>
              <w:t>4、临近生态保护红线的工业企业，应采取有效措施，避免产生不利影响。</w:t>
            </w:r>
          </w:p>
          <w:p>
            <w:pPr>
              <w:pStyle w:val="2"/>
              <w:rPr>
                <w:rFonts w:hint="default" w:ascii="Times New Roman" w:hAnsi="Times New Roman"/>
                <w:color w:val="auto"/>
              </w:rPr>
            </w:pPr>
            <w:r>
              <w:rPr>
                <w:rFonts w:hint="default" w:ascii="Times New Roman" w:hAnsi="Times New Roman" w:eastAsiaTheme="minorEastAsia"/>
                <w:color w:val="auto"/>
                <w:kern w:val="2"/>
                <w:sz w:val="21"/>
                <w:szCs w:val="24"/>
              </w:rPr>
              <w:t>5、合理确定畜禽养殖和水产养殖空间，严格按照水产养殖规划和畜禽养殖禁养区规定执行。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6" w:hRule="atLeast"/>
        </w:trPr>
        <w:tc>
          <w:tcPr>
            <w:tcW w:w="1984" w:type="dxa"/>
            <w:vMerge w:val="continue"/>
            <w:tcBorders>
              <w:left w:val="single" w:color="auto" w:sz="4" w:space="0"/>
              <w:right w:val="single" w:color="auto" w:sz="4" w:space="0"/>
            </w:tcBorders>
            <w:shd w:val="clear" w:color="auto" w:fill="auto"/>
            <w:vAlign w:val="center"/>
          </w:tcPr>
          <w:p>
            <w:pPr>
              <w:adjustRightInd w:val="0"/>
              <w:snapToGrid w:val="0"/>
              <w:rPr>
                <w:rFonts w:ascii="Times New Roman" w:hAnsi="Times New Roman" w:cs="Times New Roman"/>
                <w:sz w:val="20"/>
                <w:szCs w:val="20"/>
              </w:rPr>
            </w:pPr>
          </w:p>
        </w:tc>
        <w:tc>
          <w:tcPr>
            <w:tcW w:w="1994" w:type="dxa"/>
            <w:vMerge w:val="continue"/>
            <w:tcBorders>
              <w:left w:val="nil"/>
              <w:right w:val="single" w:color="auto" w:sz="4" w:space="0"/>
            </w:tcBorders>
            <w:shd w:val="clear" w:color="auto" w:fill="auto"/>
            <w:vAlign w:val="center"/>
          </w:tcPr>
          <w:p>
            <w:pPr>
              <w:adjustRightInd w:val="0"/>
              <w:snapToGrid w:val="0"/>
              <w:rPr>
                <w:rFonts w:ascii="Times New Roman" w:hAnsi="Times New Roman" w:cs="Times New Roman"/>
                <w:sz w:val="20"/>
                <w:szCs w:val="20"/>
              </w:rPr>
            </w:pPr>
          </w:p>
        </w:tc>
        <w:tc>
          <w:tcPr>
            <w:tcW w:w="1600" w:type="dxa"/>
            <w:vMerge w:val="continue"/>
            <w:vAlign w:val="center"/>
          </w:tcPr>
          <w:p>
            <w:pPr>
              <w:adjustRightInd w:val="0"/>
              <w:snapToGrid w:val="0"/>
              <w:rPr>
                <w:rFonts w:ascii="Times New Roman" w:hAnsi="Times New Roman" w:cs="Times New Roman"/>
                <w:szCs w:val="21"/>
              </w:rPr>
            </w:pP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808"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rPr>
              <w:t>规划产业园区建设应同步完善污水处理设施及管网建设；园区及园区企业主要污染物排放应控制在区域环境承载能力范围内，确保环境质量达标</w:t>
            </w:r>
            <w:r>
              <w:rPr>
                <w:rFonts w:ascii="Times New Roman" w:hAnsi="Times New Roman" w:cs="Times New Roman"/>
                <w:szCs w:val="21"/>
              </w:rPr>
              <w:t>。</w:t>
            </w:r>
          </w:p>
          <w:p>
            <w:pPr>
              <w:adjustRightInd w:val="0"/>
              <w:snapToGrid w:val="0"/>
              <w:rPr>
                <w:rFonts w:ascii="Times New Roman" w:hAnsi="Times New Roman" w:cs="Times New Roman"/>
                <w:szCs w:val="21"/>
              </w:rPr>
            </w:pPr>
            <w:r>
              <w:rPr>
                <w:rFonts w:ascii="Times New Roman" w:hAnsi="Times New Roman" w:cs="Times New Roman"/>
                <w:szCs w:val="21"/>
              </w:rPr>
              <w:t>2、工业企业应当落实大气污染防治要求，采取有效措施，强化企业大气污染物排放精细化管理、无组织废气排放控制以及高效治污设施建设。</w:t>
            </w:r>
          </w:p>
          <w:p>
            <w:pPr>
              <w:pStyle w:val="31"/>
              <w:rPr>
                <w:rFonts w:eastAsiaTheme="minorEastAsia"/>
              </w:rPr>
            </w:pPr>
            <w:r>
              <w:rPr>
                <w:rFonts w:eastAsiaTheme="minorEastAsia"/>
              </w:rPr>
              <w:t>3、实行畜禽养殖污染监管与治理，落实禁、限养政策与养殖退出政策，推动畜禽污染治理工作，促进农户规范养殖、达标排污。</w:t>
            </w:r>
          </w:p>
          <w:p>
            <w:pPr>
              <w:adjustRightInd w:val="0"/>
              <w:snapToGrid w:val="0"/>
              <w:rPr>
                <w:rFonts w:ascii="Times New Roman" w:hAnsi="Times New Roman" w:cs="Times New Roman"/>
                <w:szCs w:val="21"/>
              </w:rPr>
            </w:pPr>
            <w:r>
              <w:rPr>
                <w:rFonts w:ascii="Times New Roman" w:hAnsi="Times New Roman" w:cs="Times New Roman"/>
                <w:szCs w:val="21"/>
              </w:rPr>
              <w:t>4、矿产资源勘查以及采选过程中排土场、露天采场、尾矿库、矿区专用道路、矿山工业场地、沉陷区、矸石场、矿山污染场地等的生态环境保护与治理恢复工作须满足《矿山生态环境保护与恢复治理技术规范（试行）》（HJ651-2013）要求。落实边开采、边保护、边复垦的要求，使新建、在建矿山损毁土地得到全面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5" w:hRule="atLeast"/>
        </w:trPr>
        <w:tc>
          <w:tcPr>
            <w:tcW w:w="198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rPr>
                <w:rFonts w:ascii="Times New Roman" w:hAnsi="Times New Roman" w:cs="Times New Roman"/>
                <w:sz w:val="20"/>
                <w:szCs w:val="20"/>
              </w:rPr>
            </w:pPr>
          </w:p>
        </w:tc>
        <w:tc>
          <w:tcPr>
            <w:tcW w:w="1994" w:type="dxa"/>
            <w:vMerge w:val="continue"/>
            <w:tcBorders>
              <w:left w:val="nil"/>
              <w:bottom w:val="single" w:color="auto" w:sz="4" w:space="0"/>
              <w:right w:val="single" w:color="auto" w:sz="4" w:space="0"/>
            </w:tcBorders>
            <w:shd w:val="clear" w:color="auto" w:fill="auto"/>
            <w:vAlign w:val="center"/>
          </w:tcPr>
          <w:p>
            <w:pPr>
              <w:adjustRightInd w:val="0"/>
              <w:snapToGrid w:val="0"/>
              <w:rPr>
                <w:rFonts w:ascii="Times New Roman" w:hAnsi="Times New Roman" w:cs="Times New Roman"/>
                <w:sz w:val="20"/>
                <w:szCs w:val="20"/>
              </w:rPr>
            </w:pPr>
          </w:p>
        </w:tc>
        <w:tc>
          <w:tcPr>
            <w:tcW w:w="1600" w:type="dxa"/>
            <w:vMerge w:val="continue"/>
            <w:vAlign w:val="center"/>
          </w:tcPr>
          <w:p>
            <w:pPr>
              <w:adjustRightInd w:val="0"/>
              <w:snapToGrid w:val="0"/>
              <w:rPr>
                <w:rFonts w:ascii="Times New Roman" w:hAnsi="Times New Roman" w:cs="Times New Roman"/>
                <w:szCs w:val="21"/>
              </w:rPr>
            </w:pP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808"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1、开展环境风险评估，制定突发环境事件应急预案并备案，配备应急能力和物资，建设环境应急队伍，并定期演练。完善区域应急联动机制。</w:t>
            </w:r>
          </w:p>
          <w:p>
            <w:pPr>
              <w:adjustRightInd w:val="0"/>
              <w:snapToGrid w:val="0"/>
              <w:rPr>
                <w:rFonts w:ascii="Times New Roman" w:hAnsi="Times New Roman" w:cs="Times New Roman"/>
              </w:rPr>
            </w:pPr>
            <w:r>
              <w:rPr>
                <w:rFonts w:ascii="Times New Roman" w:hAnsi="Times New Roman" w:cs="Times New Roman"/>
              </w:rPr>
              <w:t>2、土壤污染重点监管单位应当严格控制有毒有害物质排放，并按年度向所在地设区的市人民政府生态环境主管部门报告排放情况；建立土壤污染隐患排查制度，保证持续有效防止有毒有害物质渗漏、流失、扬散。</w:t>
            </w:r>
          </w:p>
          <w:p>
            <w:pPr>
              <w:adjustRightInd w:val="0"/>
              <w:snapToGrid w:val="0"/>
              <w:rPr>
                <w:rFonts w:ascii="Times New Roman" w:hAnsi="Times New Roman" w:cs="Times New Roman"/>
              </w:rPr>
            </w:pPr>
            <w:r>
              <w:rPr>
                <w:rFonts w:ascii="Times New Roman" w:hAnsi="Times New Roman" w:cs="Times New Roman"/>
              </w:rPr>
              <w:t>3、对暂不开发利用的污染地块，实施以防止污染扩散为目的的风险管控；对拟开发利用为居住用地和商业、学校、医疗、养老机构等公共设施用地的污染地块，实施以安全利用为目的的风险管控。</w:t>
            </w:r>
          </w:p>
          <w:p>
            <w:pPr>
              <w:snapToGrid w:val="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涉重金属重点行业企业</w:t>
            </w:r>
            <w:r>
              <w:rPr>
                <w:rFonts w:ascii="Times New Roman" w:hAnsi="Times New Roman" w:cs="Times New Roman"/>
              </w:rPr>
              <w:t>应当采用新技术、新工艺，加快提标升级改造，坚决淘汰不符合国家产业政策的落后生产工艺装备，执行重点重金属污染物排放总量控制制度，依法实施强制性清洁生产审核，减少重点重金属污染物排放。</w:t>
            </w:r>
          </w:p>
          <w:p>
            <w:pPr>
              <w:rPr>
                <w:rFonts w:ascii="Times New Roman" w:hAnsi="Times New Roman" w:cs="Times New Roman"/>
              </w:rPr>
            </w:pPr>
            <w:r>
              <w:rPr>
                <w:rFonts w:ascii="Times New Roman" w:hAnsi="Times New Roman" w:cs="Times New Roman"/>
              </w:rPr>
              <w:t>4、尾矿库运营、管理单位应当加强尾矿库管理，完善污染治理设施，建立风险管控制度，开展环境风险隐患排查、风险管控与治理修复。危库、险库、病库以及其他需要重点监管的尾矿库的运营、管理单位应当按照规定进行土壤和地下水污染状况监测和定期评估，并建立污染事故应急处置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1" w:hRule="atLeast"/>
        </w:trPr>
        <w:tc>
          <w:tcPr>
            <w:tcW w:w="198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ZH45072230001</w:t>
            </w:r>
          </w:p>
        </w:tc>
        <w:tc>
          <w:tcPr>
            <w:tcW w:w="1994"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浦北县一般管控单元</w:t>
            </w:r>
          </w:p>
        </w:tc>
        <w:tc>
          <w:tcPr>
            <w:tcW w:w="1600" w:type="dxa"/>
            <w:vAlign w:val="center"/>
          </w:tcPr>
          <w:p>
            <w:pPr>
              <w:adjustRightInd w:val="0"/>
              <w:snapToGrid w:val="0"/>
              <w:rPr>
                <w:rFonts w:ascii="Times New Roman" w:hAnsi="Times New Roman" w:cs="Times New Roman"/>
                <w:szCs w:val="21"/>
              </w:rPr>
            </w:pPr>
            <w:r>
              <w:rPr>
                <w:rFonts w:ascii="Times New Roman" w:hAnsi="Times New Roman" w:cs="Times New Roman"/>
                <w:szCs w:val="21"/>
              </w:rPr>
              <w:t>一般管控单元</w:t>
            </w:r>
          </w:p>
        </w:tc>
        <w:tc>
          <w:tcPr>
            <w:tcW w:w="792"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808"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永久基本农田一经划定，任何单位和个人不得擅自占用或改变用途。禁止任何单位和个人破坏永久基本农田耕作层。对永久基本农田实行严格保护，确保其面积不减少、土壤环境质量不下降，除法律规定的重点建设项目选址确实无法避让外，其他任何建设不得占用。</w:t>
            </w:r>
          </w:p>
          <w:p>
            <w:pPr>
              <w:adjustRightInd w:val="0"/>
              <w:snapToGrid w:val="0"/>
              <w:rPr>
                <w:rFonts w:ascii="Times New Roman" w:hAnsi="Times New Roman" w:cs="Times New Roman"/>
              </w:rPr>
            </w:pPr>
            <w:r>
              <w:rPr>
                <w:rFonts w:ascii="Times New Roman" w:hAnsi="Times New Roman" w:cs="Times New Roman"/>
              </w:rPr>
              <w:t>2、在永久基本农田集中区域，不得新建可能造成土壤污染的建设项目；已经建成的，应当限期关闭拆除。</w:t>
            </w:r>
          </w:p>
          <w:p>
            <w:pPr>
              <w:adjustRightInd w:val="0"/>
              <w:snapToGrid w:val="0"/>
              <w:rPr>
                <w:rFonts w:ascii="Times New Roman" w:hAnsi="Times New Roman" w:cs="Times New Roman"/>
              </w:rPr>
            </w:pPr>
            <w:r>
              <w:rPr>
                <w:rFonts w:ascii="Times New Roman" w:hAnsi="Times New Roman" w:cs="Times New Roman"/>
              </w:rPr>
              <w:t>3、禁止将重金属或者其他有毒有害物质含量超标的工业固体废物、生活垃圾或者污染土壤用于土地复垦。</w:t>
            </w:r>
          </w:p>
          <w:p>
            <w:pPr>
              <w:snapToGrid w:val="0"/>
              <w:rPr>
                <w:rFonts w:ascii="Times New Roman" w:hAnsi="Times New Roman" w:eastAsia="方正小标宋_GBK" w:cs="Times New Roman"/>
              </w:rPr>
            </w:pPr>
            <w:r>
              <w:rPr>
                <w:rFonts w:ascii="Times New Roman" w:hAnsi="Times New Roman" w:cs="Times New Roman"/>
              </w:rPr>
              <w:t>4、</w:t>
            </w:r>
            <w:r>
              <w:rPr>
                <w:rFonts w:hint="eastAsia" w:ascii="Times New Roman" w:hAnsi="Times New Roman" w:cs="Times New Roman"/>
              </w:rPr>
              <w:t>到</w:t>
            </w:r>
            <w:r>
              <w:rPr>
                <w:rFonts w:ascii="Times New Roman" w:hAnsi="Times New Roman" w:cs="Times New Roman"/>
              </w:rPr>
              <w:t>2025年，甘村大桥国考断面水质</w:t>
            </w:r>
            <w:r>
              <w:rPr>
                <w:rFonts w:hint="eastAsia" w:ascii="Times New Roman" w:hAnsi="Times New Roman" w:cs="Times New Roman"/>
              </w:rPr>
              <w:t>拟</w:t>
            </w:r>
            <w:r>
              <w:rPr>
                <w:rFonts w:ascii="Times New Roman" w:hAnsi="Times New Roman" w:cs="Times New Roman"/>
              </w:rPr>
              <w:t>执行Ⅲ类标准</w:t>
            </w:r>
            <w:r>
              <w:rPr>
                <w:rFonts w:ascii="Times New Roman" w:hAnsi="Times New Roman" w:cs="Times New Roman"/>
                <w:szCs w:val="21"/>
              </w:rPr>
              <w:t>，最终以国家下达的目标为准</w:t>
            </w:r>
            <w:r>
              <w:rPr>
                <w:rFonts w:ascii="Times New Roman" w:hAnsi="Times New Roman" w:cs="Times New Roman"/>
              </w:rPr>
              <w:t>。</w:t>
            </w:r>
          </w:p>
        </w:tc>
      </w:tr>
    </w:tbl>
    <w:p>
      <w:pPr>
        <w:widowControl/>
        <w:jc w:val="left"/>
        <w:rPr>
          <w:rFonts w:ascii="Times New Roman" w:hAnsi="Times New Roman" w:cs="Times New Roman"/>
          <w:szCs w:val="21"/>
        </w:rPr>
      </w:pPr>
      <w:r>
        <w:rPr>
          <w:rFonts w:ascii="Times New Roman" w:hAnsi="Times New Roman" w:cs="Times New Roman"/>
        </w:rPr>
        <w:br w:type="page"/>
      </w:r>
    </w:p>
    <w:bookmarkEnd w:id="8"/>
    <w:bookmarkEnd w:id="9"/>
    <w:bookmarkEnd w:id="10"/>
    <w:bookmarkEnd w:id="11"/>
    <w:bookmarkEnd w:id="12"/>
    <w:bookmarkEnd w:id="13"/>
    <w:bookmarkEnd w:id="14"/>
    <w:bookmarkEnd w:id="15"/>
    <w:bookmarkEnd w:id="16"/>
    <w:bookmarkEnd w:id="17"/>
    <w:bookmarkEnd w:id="18"/>
    <w:bookmarkEnd w:id="19"/>
    <w:bookmarkEnd w:id="20"/>
    <w:p>
      <w:pPr>
        <w:pStyle w:val="3"/>
        <w:spacing w:before="156" w:after="156"/>
      </w:pPr>
      <w:bookmarkStart w:id="28" w:name="_Toc10796"/>
      <w:r>
        <w:rPr>
          <w:rFonts w:hint="eastAsia"/>
        </w:rPr>
        <w:t>5</w:t>
      </w:r>
      <w:r>
        <w:tab/>
      </w:r>
      <w:r>
        <w:rPr>
          <w:rFonts w:hint="eastAsia"/>
        </w:rPr>
        <w:t>钦州市近岸海域</w:t>
      </w:r>
      <w:bookmarkEnd w:id="28"/>
    </w:p>
    <w:p>
      <w:pPr>
        <w:adjustRightInd w:val="0"/>
        <w:snapToGrid w:val="0"/>
        <w:spacing w:line="300" w:lineRule="auto"/>
        <w:jc w:val="center"/>
        <w:outlineLvl w:val="3"/>
        <w:rPr>
          <w:rFonts w:ascii="Times New Roman" w:hAnsi="Times New Roman" w:eastAsia="黑体" w:cs="Times New Roman"/>
          <w:sz w:val="24"/>
          <w:szCs w:val="21"/>
        </w:rPr>
      </w:pPr>
      <w:bookmarkStart w:id="29" w:name="_Toc23686"/>
      <w:r>
        <w:rPr>
          <w:rFonts w:ascii="Times New Roman" w:hAnsi="Times New Roman" w:eastAsia="黑体" w:cs="Times New Roman"/>
          <w:sz w:val="28"/>
          <w:szCs w:val="28"/>
        </w:rPr>
        <w:t>表</w:t>
      </w:r>
      <w:r>
        <w:rPr>
          <w:rFonts w:hint="eastAsia" w:ascii="Times New Roman" w:hAnsi="Times New Roman" w:eastAsia="黑体" w:cs="Times New Roman"/>
          <w:sz w:val="28"/>
          <w:szCs w:val="28"/>
        </w:rPr>
        <w:t>5</w:t>
      </w:r>
      <w:r>
        <w:rPr>
          <w:rFonts w:ascii="Times New Roman" w:hAnsi="Times New Roman" w:eastAsia="黑体" w:cs="Times New Roman"/>
          <w:sz w:val="28"/>
          <w:szCs w:val="28"/>
        </w:rPr>
        <w:t xml:space="preserve">  钦州市近岸海域</w:t>
      </w:r>
      <w:r>
        <w:rPr>
          <w:rFonts w:hint="eastAsia" w:ascii="Times New Roman" w:hAnsi="Times New Roman" w:eastAsia="黑体" w:cs="Times New Roman"/>
          <w:sz w:val="28"/>
          <w:szCs w:val="28"/>
        </w:rPr>
        <w:t>环境管控单元</w:t>
      </w:r>
      <w:r>
        <w:rPr>
          <w:rFonts w:ascii="Times New Roman" w:hAnsi="Times New Roman" w:eastAsia="黑体" w:cs="Times New Roman"/>
          <w:sz w:val="28"/>
          <w:szCs w:val="28"/>
        </w:rPr>
        <w:t>生态环境准入清单</w:t>
      </w:r>
      <w:bookmarkEnd w:id="29"/>
    </w:p>
    <w:tbl>
      <w:tblPr>
        <w:tblStyle w:val="18"/>
        <w:tblW w:w="15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984"/>
        <w:gridCol w:w="1531"/>
        <w:gridCol w:w="723"/>
        <w:gridCol w:w="8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1984" w:type="dxa"/>
            <w:shd w:val="clear" w:color="auto" w:fill="auto"/>
            <w:vAlign w:val="center"/>
          </w:tcPr>
          <w:p>
            <w:pPr>
              <w:adjustRightInd w:val="0"/>
              <w:snapToGrid w:val="0"/>
              <w:jc w:val="center"/>
              <w:rPr>
                <w:rFonts w:ascii="Times New Roman" w:hAnsi="Times New Roman" w:cs="Times New Roman"/>
                <w:b/>
                <w:szCs w:val="21"/>
              </w:rPr>
            </w:pPr>
            <w:r>
              <w:rPr>
                <w:rFonts w:ascii="Times New Roman" w:hAnsi="Times New Roman" w:cs="Times New Roman"/>
                <w:b/>
                <w:szCs w:val="21"/>
              </w:rPr>
              <w:t>环境管控单元编码</w:t>
            </w:r>
          </w:p>
        </w:tc>
        <w:tc>
          <w:tcPr>
            <w:tcW w:w="1984" w:type="dxa"/>
            <w:shd w:val="clear" w:color="auto" w:fill="auto"/>
            <w:vAlign w:val="center"/>
          </w:tcPr>
          <w:p>
            <w:pPr>
              <w:adjustRightInd w:val="0"/>
              <w:snapToGrid w:val="0"/>
              <w:jc w:val="center"/>
              <w:rPr>
                <w:rFonts w:ascii="Times New Roman" w:hAnsi="Times New Roman" w:cs="Times New Roman"/>
                <w:b/>
                <w:szCs w:val="21"/>
              </w:rPr>
            </w:pPr>
            <w:r>
              <w:rPr>
                <w:rFonts w:ascii="Times New Roman" w:hAnsi="Times New Roman" w:cs="Times New Roman"/>
                <w:b/>
                <w:szCs w:val="21"/>
              </w:rPr>
              <w:t>环境管控单元名称</w:t>
            </w:r>
          </w:p>
        </w:tc>
        <w:tc>
          <w:tcPr>
            <w:tcW w:w="1531" w:type="dxa"/>
            <w:shd w:val="clear" w:color="auto" w:fill="auto"/>
            <w:vAlign w:val="center"/>
          </w:tcPr>
          <w:p>
            <w:pPr>
              <w:adjustRightInd w:val="0"/>
              <w:snapToGrid w:val="0"/>
              <w:jc w:val="center"/>
              <w:rPr>
                <w:rFonts w:ascii="Times New Roman" w:hAnsi="Times New Roman" w:cs="Times New Roman"/>
                <w:b/>
                <w:szCs w:val="21"/>
              </w:rPr>
            </w:pPr>
            <w:r>
              <w:rPr>
                <w:rFonts w:ascii="Times New Roman" w:hAnsi="Times New Roman" w:cs="Times New Roman"/>
                <w:b/>
                <w:szCs w:val="21"/>
              </w:rPr>
              <w:t>管控单元类别</w:t>
            </w:r>
          </w:p>
        </w:tc>
        <w:tc>
          <w:tcPr>
            <w:tcW w:w="9662" w:type="dxa"/>
            <w:gridSpan w:val="2"/>
            <w:shd w:val="clear" w:color="auto" w:fill="auto"/>
            <w:vAlign w:val="center"/>
          </w:tcPr>
          <w:p>
            <w:pPr>
              <w:adjustRightInd w:val="0"/>
              <w:snapToGrid w:val="0"/>
              <w:jc w:val="center"/>
              <w:rPr>
                <w:rFonts w:ascii="Times New Roman" w:hAnsi="Times New Roman" w:cs="Times New Roman"/>
                <w:b/>
                <w:szCs w:val="21"/>
              </w:rPr>
            </w:pPr>
            <w:r>
              <w:rPr>
                <w:rFonts w:ascii="Times New Roman" w:hAnsi="Times New Roman" w:cs="Times New Roman"/>
                <w:b/>
                <w:szCs w:val="21"/>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HY45070010001</w:t>
            </w:r>
          </w:p>
        </w:tc>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广西茅尾海红树林自治区级自然保护区红线区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rPr>
                <w:rFonts w:eastAsiaTheme="minorEastAsia"/>
              </w:rPr>
            </w:pPr>
            <w:r>
              <w:rPr>
                <w:rFonts w:eastAsiaTheme="minorEastAsia"/>
              </w:rPr>
              <w:t>1、</w:t>
            </w:r>
            <w:r>
              <w:t>依据《关于建立以国家公园为主体的自然保护地体系的指导意见》《广西壮族自治区红树林资源保护条例》进行管理，</w:t>
            </w:r>
            <w:r>
              <w:rPr>
                <w:rFonts w:eastAsiaTheme="minorEastAsia"/>
              </w:rPr>
              <w:t>生态保护红线内，</w:t>
            </w:r>
            <w:r>
              <w:t>实行自然保护地实行分区管控，原则上核心保护区内禁止人为活动，一般控制区内限制人为活动</w:t>
            </w:r>
            <w:r>
              <w:rPr>
                <w:rFonts w:eastAsiaTheme="minorEastAsia"/>
              </w:rPr>
              <w:t>，在符合现行法律法规前提下，除国家重大战略项目外，仅允许对生态功能不造成破坏的有限人为活动，主要包括：</w:t>
            </w:r>
          </w:p>
          <w:p>
            <w:pPr>
              <w:pStyle w:val="31"/>
              <w:rPr>
                <w:rFonts w:eastAsiaTheme="minorEastAsia"/>
              </w:rPr>
            </w:pPr>
            <w:r>
              <w:rPr>
                <w:rFonts w:hint="eastAsia" w:eastAsiaTheme="minorEastAsia"/>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eastAsiaTheme="minorEastAsia"/>
              </w:rPr>
              <w:t>；</w:t>
            </w:r>
          </w:p>
          <w:p>
            <w:pPr>
              <w:pStyle w:val="31"/>
              <w:rPr>
                <w:rFonts w:eastAsiaTheme="minorEastAsia"/>
              </w:rPr>
            </w:pPr>
            <w:r>
              <w:rPr>
                <w:rFonts w:eastAsiaTheme="minorEastAsia"/>
              </w:rPr>
              <w:t>（2）</w:t>
            </w:r>
            <w:r>
              <w:rPr>
                <w:rFonts w:hint="eastAsia" w:eastAsiaTheme="minorEastAsia"/>
              </w:rPr>
              <w:t>因国家重大能源资源安全需要开展的战略性能源资源勘查，公益性自然资源、海洋与灾害调查和地质勘查</w:t>
            </w:r>
            <w:r>
              <w:rPr>
                <w:rFonts w:eastAsiaTheme="minorEastAsia"/>
              </w:rPr>
              <w:t>；</w:t>
            </w:r>
          </w:p>
          <w:p>
            <w:pPr>
              <w:pStyle w:val="31"/>
              <w:rPr>
                <w:rFonts w:eastAsiaTheme="minorEastAsia"/>
              </w:rPr>
            </w:pPr>
            <w:r>
              <w:rPr>
                <w:rFonts w:eastAsiaTheme="minorEastAsia"/>
              </w:rPr>
              <w:t>（3）</w:t>
            </w:r>
            <w:r>
              <w:rPr>
                <w:rFonts w:hint="eastAsia" w:eastAsiaTheme="minorEastAsia"/>
              </w:rPr>
              <w:t>自然资源、海洋生态环境监测和执法以及海洋气象</w:t>
            </w:r>
            <w:bookmarkStart w:id="30" w:name="_GoBack"/>
            <w:r>
              <w:rPr>
                <w:rFonts w:hint="eastAsia" w:eastAsiaTheme="minorEastAsia"/>
              </w:rPr>
              <w:t>水文</w:t>
            </w:r>
            <w:bookmarkEnd w:id="30"/>
            <w:r>
              <w:rPr>
                <w:rFonts w:hint="eastAsia" w:eastAsiaTheme="minorEastAsia"/>
              </w:rPr>
              <w:t>观测及涉海违法事件的查处等，灾害防治和应急抢险活动</w:t>
            </w:r>
            <w:r>
              <w:rPr>
                <w:rFonts w:eastAsiaTheme="minorEastAsia"/>
              </w:rPr>
              <w:t>；</w:t>
            </w:r>
          </w:p>
          <w:p>
            <w:pPr>
              <w:pStyle w:val="31"/>
              <w:rPr>
                <w:rFonts w:eastAsiaTheme="minorEastAsia"/>
              </w:rPr>
            </w:pPr>
            <w:r>
              <w:rPr>
                <w:rFonts w:eastAsiaTheme="minorEastAsia"/>
              </w:rPr>
              <w:t>（4）</w:t>
            </w:r>
            <w:r>
              <w:rPr>
                <w:rFonts w:hint="eastAsia" w:eastAsiaTheme="minorEastAsia"/>
              </w:rPr>
              <w:t>经依法批准进行的非破坏性科学研究观测、标本采集；经依法批准的考古调查发掘和文物保护活动；经依法批准的水产种质资源保护与开发利用活动</w:t>
            </w:r>
            <w:r>
              <w:rPr>
                <w:rFonts w:eastAsiaTheme="minorEastAsia"/>
              </w:rPr>
              <w:t>；</w:t>
            </w:r>
          </w:p>
          <w:p>
            <w:pPr>
              <w:pStyle w:val="31"/>
              <w:rPr>
                <w:rFonts w:eastAsiaTheme="minorEastAsia"/>
              </w:rPr>
            </w:pPr>
            <w:r>
              <w:rPr>
                <w:rFonts w:eastAsiaTheme="minorEastAsia"/>
              </w:rPr>
              <w:t>（5）不破坏生态功能的适度参观旅游和相关的必要公共设施建设；</w:t>
            </w:r>
          </w:p>
          <w:p>
            <w:pPr>
              <w:pStyle w:val="31"/>
              <w:rPr>
                <w:rFonts w:eastAsiaTheme="minorEastAsia"/>
              </w:rPr>
            </w:pPr>
            <w:r>
              <w:rPr>
                <w:rFonts w:eastAsiaTheme="minorEastAsia"/>
              </w:rPr>
              <w:t>（6）必须且无法避让、符合县级以上国土空间规划、港口规划的线性基础设施建设、防洪防潮和供水设施建设、运行维护与加固整治；</w:t>
            </w:r>
          </w:p>
          <w:p>
            <w:pPr>
              <w:pStyle w:val="31"/>
              <w:rPr>
                <w:rFonts w:eastAsiaTheme="minorEastAsia"/>
              </w:rPr>
            </w:pPr>
            <w:r>
              <w:rPr>
                <w:rFonts w:eastAsiaTheme="minorEastAsia"/>
              </w:rPr>
              <w:t>（7）重要生态修复工程。</w:t>
            </w:r>
          </w:p>
          <w:p>
            <w:pPr>
              <w:pStyle w:val="31"/>
            </w:pPr>
            <w:r>
              <w:rPr>
                <w:rFonts w:eastAsiaTheme="minorEastAsia"/>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HY45070010002</w:t>
            </w:r>
          </w:p>
        </w:tc>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广西钦州茅尾海国家级海洋自然公园红线区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rPr>
                <w:rFonts w:eastAsiaTheme="minorEastAsia"/>
              </w:rPr>
            </w:pPr>
            <w:r>
              <w:rPr>
                <w:rFonts w:eastAsiaTheme="minorEastAsia"/>
              </w:rPr>
              <w:t>1、</w:t>
            </w:r>
            <w:r>
              <w:t>依据《关于建立以国家公园为主体的自然保护地体系的指导意见》《广西壮族自治区红树林资源保护条例》进行管理，</w:t>
            </w:r>
            <w:r>
              <w:rPr>
                <w:rFonts w:eastAsiaTheme="minorEastAsia"/>
              </w:rPr>
              <w:t>生态保护红线内，</w:t>
            </w:r>
            <w:r>
              <w:t>实行自然保护地实行分区管控，原则上核心保护区内禁止人为活动，一般控制区内限制人为活动</w:t>
            </w:r>
            <w:r>
              <w:rPr>
                <w:rFonts w:eastAsiaTheme="minorEastAsia"/>
              </w:rPr>
              <w:t>，在符合现行法律法规前提下，除国家重大战略项目外，仅允许对生态功能不造成破坏的有限人为活动，主要包括：</w:t>
            </w:r>
          </w:p>
          <w:p>
            <w:pPr>
              <w:pStyle w:val="31"/>
              <w:rPr>
                <w:rFonts w:eastAsiaTheme="minorEastAsia"/>
              </w:rPr>
            </w:pPr>
            <w:r>
              <w:rPr>
                <w:rFonts w:hint="eastAsia" w:eastAsiaTheme="minorEastAsia"/>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eastAsiaTheme="minorEastAsia"/>
              </w:rPr>
              <w:t>；</w:t>
            </w:r>
          </w:p>
          <w:p>
            <w:pPr>
              <w:pStyle w:val="31"/>
              <w:rPr>
                <w:rFonts w:eastAsiaTheme="minorEastAsia"/>
              </w:rPr>
            </w:pPr>
            <w:r>
              <w:rPr>
                <w:rFonts w:eastAsiaTheme="minorEastAsia"/>
              </w:rPr>
              <w:t>（2）</w:t>
            </w:r>
            <w:r>
              <w:rPr>
                <w:rFonts w:hint="eastAsia" w:eastAsiaTheme="minorEastAsia"/>
              </w:rPr>
              <w:t>因国家重大能源资源安全需要开展的战略性能源资源勘查，公益性自然资源、海洋与灾害调查和地质勘查</w:t>
            </w:r>
            <w:r>
              <w:rPr>
                <w:rFonts w:eastAsiaTheme="minorEastAsia"/>
              </w:rPr>
              <w:t>；</w:t>
            </w:r>
          </w:p>
          <w:p>
            <w:pPr>
              <w:pStyle w:val="31"/>
              <w:rPr>
                <w:rFonts w:eastAsiaTheme="minorEastAsia"/>
              </w:rPr>
            </w:pPr>
            <w:r>
              <w:rPr>
                <w:rFonts w:eastAsiaTheme="minorEastAsia"/>
              </w:rPr>
              <w:t>（3）</w:t>
            </w:r>
            <w:r>
              <w:rPr>
                <w:rFonts w:hint="eastAsia" w:eastAsiaTheme="minorEastAsia"/>
              </w:rPr>
              <w:t>自然资源、海洋生态环境监测和执法以及海洋气象水文观测及涉海违法事件的查处等，灾害防治和应急抢险活动</w:t>
            </w:r>
            <w:r>
              <w:rPr>
                <w:rFonts w:eastAsiaTheme="minorEastAsia"/>
              </w:rPr>
              <w:t>；</w:t>
            </w:r>
          </w:p>
          <w:p>
            <w:pPr>
              <w:pStyle w:val="31"/>
              <w:rPr>
                <w:rFonts w:eastAsiaTheme="minorEastAsia"/>
              </w:rPr>
            </w:pPr>
            <w:r>
              <w:rPr>
                <w:rFonts w:eastAsiaTheme="minorEastAsia"/>
              </w:rPr>
              <w:t>（4）</w:t>
            </w:r>
            <w:r>
              <w:rPr>
                <w:rFonts w:hint="eastAsia" w:eastAsiaTheme="minorEastAsia"/>
              </w:rPr>
              <w:t>经依法批准进行的非破坏性科学研究观测、标本采集；经依法批准的考古调查发掘和文物保护活动；经依法批准的水产种质资源保护与开发利用活动</w:t>
            </w:r>
            <w:r>
              <w:rPr>
                <w:rFonts w:eastAsiaTheme="minorEastAsia"/>
              </w:rPr>
              <w:t>；</w:t>
            </w:r>
          </w:p>
          <w:p>
            <w:pPr>
              <w:pStyle w:val="31"/>
              <w:rPr>
                <w:rFonts w:eastAsiaTheme="minorEastAsia"/>
              </w:rPr>
            </w:pPr>
            <w:r>
              <w:rPr>
                <w:rFonts w:eastAsiaTheme="minorEastAsia"/>
              </w:rPr>
              <w:t>（5）不破坏生态功能的适度参观旅游和相关的必要公共设施建设；</w:t>
            </w:r>
          </w:p>
          <w:p>
            <w:pPr>
              <w:pStyle w:val="31"/>
              <w:rPr>
                <w:rFonts w:eastAsiaTheme="minorEastAsia"/>
              </w:rPr>
            </w:pPr>
            <w:r>
              <w:rPr>
                <w:rFonts w:eastAsiaTheme="minorEastAsia"/>
              </w:rPr>
              <w:t>（6）必须且无法避让、符合县级以上国土空间规划、港口规划的线性基础设施建设、防洪防潮和供水设施建设、运行维护与加固整治；</w:t>
            </w:r>
          </w:p>
          <w:p>
            <w:pPr>
              <w:pStyle w:val="31"/>
              <w:rPr>
                <w:rFonts w:eastAsiaTheme="minorEastAsia"/>
              </w:rPr>
            </w:pPr>
            <w:r>
              <w:rPr>
                <w:rFonts w:eastAsiaTheme="minorEastAsia"/>
              </w:rPr>
              <w:t>（7）重要生态修复工程。</w:t>
            </w:r>
          </w:p>
          <w:p>
            <w:pPr>
              <w:adjustRightInd w:val="0"/>
              <w:snapToGrid w:val="0"/>
              <w:rPr>
                <w:rFonts w:ascii="Times New Roman" w:hAnsi="Times New Roman" w:cs="Times New Roman"/>
                <w:szCs w:val="21"/>
              </w:rPr>
            </w:pPr>
            <w:r>
              <w:rPr>
                <w:rFonts w:ascii="Times New Roman" w:hAnsi="Times New Roman" w:cs="Times New Roman"/>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HY45070010003</w:t>
            </w:r>
          </w:p>
        </w:tc>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钦州市大风江重要河口红线区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rPr>
                <w:rFonts w:eastAsiaTheme="minorEastAsia"/>
              </w:rPr>
            </w:pPr>
            <w:r>
              <w:rPr>
                <w:rFonts w:eastAsiaTheme="minorEastAsia"/>
              </w:rPr>
              <w:t>1、</w:t>
            </w:r>
            <w:r>
              <w:t>依据《关于建立以国家公园为主体的自然保护地体系的指导意见》进行管理，</w:t>
            </w:r>
            <w:r>
              <w:rPr>
                <w:rFonts w:eastAsiaTheme="minorEastAsia"/>
              </w:rPr>
              <w:t>生态保护红线内，</w:t>
            </w:r>
            <w:r>
              <w:t>实行自然保护地实行分区管控，原则上核心保护区内禁止人为活动，一般控制区内限制人为活动</w:t>
            </w:r>
            <w:r>
              <w:rPr>
                <w:rFonts w:eastAsiaTheme="minorEastAsia"/>
              </w:rPr>
              <w:t>，在符合现行法律法规前提下，除国家重大战略项目外，仅允许对生态功能不造成破坏的有限人为活动，主要包括：</w:t>
            </w:r>
          </w:p>
          <w:p>
            <w:pPr>
              <w:pStyle w:val="31"/>
              <w:rPr>
                <w:rFonts w:eastAsiaTheme="minorEastAsia"/>
              </w:rPr>
            </w:pPr>
            <w:r>
              <w:rPr>
                <w:rFonts w:hint="eastAsia" w:eastAsiaTheme="minorEastAsia"/>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eastAsiaTheme="minorEastAsia"/>
              </w:rPr>
              <w:t>；</w:t>
            </w:r>
          </w:p>
          <w:p>
            <w:pPr>
              <w:pStyle w:val="31"/>
              <w:rPr>
                <w:rFonts w:eastAsiaTheme="minorEastAsia"/>
              </w:rPr>
            </w:pPr>
            <w:r>
              <w:rPr>
                <w:rFonts w:eastAsiaTheme="minorEastAsia"/>
              </w:rPr>
              <w:t>（2）</w:t>
            </w:r>
            <w:r>
              <w:rPr>
                <w:rFonts w:hint="eastAsia" w:eastAsiaTheme="minorEastAsia"/>
              </w:rPr>
              <w:t>因国家重大能源资源安全需要开展的战略性能源资源勘查，公益性自然资源、海洋与灾害调查和地质勘查</w:t>
            </w:r>
            <w:r>
              <w:rPr>
                <w:rFonts w:eastAsiaTheme="minorEastAsia"/>
              </w:rPr>
              <w:t>；</w:t>
            </w:r>
          </w:p>
          <w:p>
            <w:pPr>
              <w:pStyle w:val="31"/>
              <w:rPr>
                <w:rFonts w:eastAsiaTheme="minorEastAsia"/>
              </w:rPr>
            </w:pPr>
            <w:r>
              <w:rPr>
                <w:rFonts w:eastAsiaTheme="minorEastAsia"/>
              </w:rPr>
              <w:t>（3）</w:t>
            </w:r>
            <w:r>
              <w:rPr>
                <w:rFonts w:hint="eastAsia" w:eastAsiaTheme="minorEastAsia"/>
              </w:rPr>
              <w:t>自然资源、海洋生态环境监测和执法以及海洋气象水文观测及涉海违法事件的查处等，灾害防治和应急抢险活动</w:t>
            </w:r>
            <w:r>
              <w:rPr>
                <w:rFonts w:eastAsiaTheme="minorEastAsia"/>
              </w:rPr>
              <w:t>；</w:t>
            </w:r>
          </w:p>
          <w:p>
            <w:pPr>
              <w:pStyle w:val="31"/>
              <w:rPr>
                <w:rFonts w:eastAsiaTheme="minorEastAsia"/>
              </w:rPr>
            </w:pPr>
            <w:r>
              <w:rPr>
                <w:rFonts w:eastAsiaTheme="minorEastAsia"/>
              </w:rPr>
              <w:t>（4）</w:t>
            </w:r>
            <w:r>
              <w:rPr>
                <w:rFonts w:hint="eastAsia" w:eastAsiaTheme="minorEastAsia"/>
              </w:rPr>
              <w:t>经依法批准进行的非破坏性科学研究观测、标本采集；经依法批准的考古调查发掘和文物保护活动；经依法批准的水产种质资源保护与开发利用活动</w:t>
            </w:r>
            <w:r>
              <w:rPr>
                <w:rFonts w:eastAsiaTheme="minorEastAsia"/>
              </w:rPr>
              <w:t>；</w:t>
            </w:r>
          </w:p>
          <w:p>
            <w:pPr>
              <w:pStyle w:val="31"/>
              <w:rPr>
                <w:rFonts w:eastAsiaTheme="minorEastAsia"/>
              </w:rPr>
            </w:pPr>
            <w:r>
              <w:rPr>
                <w:rFonts w:eastAsiaTheme="minorEastAsia"/>
              </w:rPr>
              <w:t>（5）不破坏生态功能的适度参观旅游和相关的必要公共设施建设；</w:t>
            </w:r>
          </w:p>
          <w:p>
            <w:pPr>
              <w:pStyle w:val="31"/>
              <w:rPr>
                <w:rFonts w:eastAsiaTheme="minorEastAsia"/>
              </w:rPr>
            </w:pPr>
            <w:r>
              <w:rPr>
                <w:rFonts w:eastAsiaTheme="minorEastAsia"/>
              </w:rPr>
              <w:t>（6）必须且无法避让、符合县级以上国土空间规划、港口规划的线性基础设施建设、防洪防潮和供水设施建设、运行维护与加固整治；</w:t>
            </w:r>
          </w:p>
          <w:p>
            <w:pPr>
              <w:pStyle w:val="31"/>
              <w:rPr>
                <w:rFonts w:eastAsiaTheme="minorEastAsia"/>
              </w:rPr>
            </w:pPr>
            <w:r>
              <w:rPr>
                <w:rFonts w:eastAsiaTheme="minorEastAsia"/>
              </w:rPr>
              <w:t>（7）重要生态修复工程。</w:t>
            </w:r>
          </w:p>
          <w:p>
            <w:pPr>
              <w:adjustRightInd w:val="0"/>
              <w:snapToGrid w:val="0"/>
              <w:rPr>
                <w:rFonts w:ascii="Times New Roman" w:hAnsi="Times New Roman" w:cs="Times New Roman"/>
                <w:szCs w:val="21"/>
              </w:rPr>
            </w:pPr>
            <w:r>
              <w:rPr>
                <w:rFonts w:ascii="Times New Roman" w:hAnsi="Times New Roman" w:cs="Times New Roman"/>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HY45070010004</w:t>
            </w:r>
          </w:p>
        </w:tc>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钦州市近海南部重要渔业资源产卵场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rPr>
                <w:rFonts w:eastAsiaTheme="minorEastAsia"/>
              </w:rPr>
            </w:pPr>
            <w:r>
              <w:rPr>
                <w:rFonts w:eastAsiaTheme="minorEastAsia"/>
              </w:rPr>
              <w:t>1、</w:t>
            </w:r>
            <w:r>
              <w:t>依据《关于建立以国家公园为主体的自然保护地体系的指导意见》进行管理，</w:t>
            </w:r>
            <w:r>
              <w:rPr>
                <w:rFonts w:eastAsiaTheme="minorEastAsia"/>
              </w:rPr>
              <w:t>生态保护红线内，</w:t>
            </w:r>
            <w:r>
              <w:t>实行自然保护地实行分区管控，原则上核心保护区内禁止人为活动，一般控制区内限制人为活动</w:t>
            </w:r>
            <w:r>
              <w:rPr>
                <w:rFonts w:eastAsiaTheme="minorEastAsia"/>
              </w:rPr>
              <w:t>，在符合现行法律法规前提下，除国家重大战略项目外，仅允许对生态功能不造成破坏的有限人为活动，主要包括：</w:t>
            </w:r>
          </w:p>
          <w:p>
            <w:pPr>
              <w:pStyle w:val="31"/>
              <w:rPr>
                <w:rFonts w:eastAsiaTheme="minorEastAsia"/>
              </w:rPr>
            </w:pPr>
            <w:r>
              <w:rPr>
                <w:rFonts w:hint="eastAsia" w:eastAsiaTheme="minorEastAsia"/>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eastAsiaTheme="minorEastAsia"/>
              </w:rPr>
              <w:t>；</w:t>
            </w:r>
          </w:p>
          <w:p>
            <w:pPr>
              <w:pStyle w:val="31"/>
              <w:rPr>
                <w:rFonts w:eastAsiaTheme="minorEastAsia"/>
              </w:rPr>
            </w:pPr>
            <w:r>
              <w:rPr>
                <w:rFonts w:eastAsiaTheme="minorEastAsia"/>
              </w:rPr>
              <w:t>（2）</w:t>
            </w:r>
            <w:r>
              <w:rPr>
                <w:rFonts w:hint="eastAsia" w:eastAsiaTheme="minorEastAsia"/>
              </w:rPr>
              <w:t>因国家重大能源资源安全需要开展的战略性能源资源勘查，公益性自然资源、海洋与灾害调查和地质勘查</w:t>
            </w:r>
            <w:r>
              <w:rPr>
                <w:rFonts w:eastAsiaTheme="minorEastAsia"/>
              </w:rPr>
              <w:t>；</w:t>
            </w:r>
          </w:p>
          <w:p>
            <w:pPr>
              <w:pStyle w:val="31"/>
              <w:rPr>
                <w:rFonts w:eastAsiaTheme="minorEastAsia"/>
              </w:rPr>
            </w:pPr>
            <w:r>
              <w:rPr>
                <w:rFonts w:eastAsiaTheme="minorEastAsia"/>
              </w:rPr>
              <w:t>（3）</w:t>
            </w:r>
            <w:r>
              <w:rPr>
                <w:rFonts w:hint="eastAsia" w:eastAsiaTheme="minorEastAsia"/>
              </w:rPr>
              <w:t>自然资源、海洋生态环境监测和执法以及海洋气象水文观测及涉海违法事件的查处等，灾害防治和应急抢险活动</w:t>
            </w:r>
            <w:r>
              <w:rPr>
                <w:rFonts w:eastAsiaTheme="minorEastAsia"/>
              </w:rPr>
              <w:t>；</w:t>
            </w:r>
          </w:p>
          <w:p>
            <w:pPr>
              <w:pStyle w:val="31"/>
              <w:rPr>
                <w:rFonts w:eastAsiaTheme="minorEastAsia"/>
              </w:rPr>
            </w:pPr>
            <w:r>
              <w:rPr>
                <w:rFonts w:eastAsiaTheme="minorEastAsia"/>
              </w:rPr>
              <w:t>（4）</w:t>
            </w:r>
            <w:r>
              <w:rPr>
                <w:rFonts w:hint="eastAsia" w:eastAsiaTheme="minorEastAsia"/>
              </w:rPr>
              <w:t>经依法批准进行的非破坏性科学研究观测、标本采集；经依法批准的考古调查发掘和文物保护活动；经依法批准的水产种质资源保护与开发利用活动</w:t>
            </w:r>
            <w:r>
              <w:rPr>
                <w:rFonts w:eastAsiaTheme="minorEastAsia"/>
              </w:rPr>
              <w:t>；</w:t>
            </w:r>
          </w:p>
          <w:p>
            <w:pPr>
              <w:pStyle w:val="31"/>
              <w:rPr>
                <w:rFonts w:eastAsiaTheme="minorEastAsia"/>
              </w:rPr>
            </w:pPr>
            <w:r>
              <w:rPr>
                <w:rFonts w:eastAsiaTheme="minorEastAsia"/>
              </w:rPr>
              <w:t>（5）不破坏生态功能的适度参观旅游和相关的必要公共设施建设；</w:t>
            </w:r>
          </w:p>
          <w:p>
            <w:pPr>
              <w:pStyle w:val="31"/>
              <w:rPr>
                <w:rFonts w:eastAsiaTheme="minorEastAsia"/>
              </w:rPr>
            </w:pPr>
            <w:r>
              <w:rPr>
                <w:rFonts w:eastAsiaTheme="minorEastAsia"/>
              </w:rPr>
              <w:t>（6）必须且无法避让、符合县级以上国土空间规划、港口规划的线性基础设施建设、防洪防潮和供水设施建设、运行维护与加固整治；</w:t>
            </w:r>
          </w:p>
          <w:p>
            <w:pPr>
              <w:pStyle w:val="31"/>
              <w:rPr>
                <w:rFonts w:eastAsiaTheme="minorEastAsia"/>
              </w:rPr>
            </w:pPr>
            <w:r>
              <w:rPr>
                <w:rFonts w:eastAsiaTheme="minorEastAsia"/>
              </w:rPr>
              <w:t>（7）重要生态修复工程。</w:t>
            </w:r>
          </w:p>
          <w:p>
            <w:pPr>
              <w:pStyle w:val="31"/>
              <w:rPr>
                <w:rFonts w:eastAsiaTheme="minorEastAsia"/>
              </w:rPr>
            </w:pPr>
            <w:r>
              <w:rPr>
                <w:rFonts w:eastAsiaTheme="minorEastAsia"/>
              </w:rPr>
              <w:t>2、生态保护红线管理办法和国土空间规划公布实施后，从其规定。</w:t>
            </w:r>
          </w:p>
          <w:p>
            <w:pPr>
              <w:adjustRightInd w:val="0"/>
              <w:snapToGrid w:val="0"/>
              <w:rPr>
                <w:rFonts w:ascii="Times New Roman" w:hAnsi="Times New Roman" w:cs="Times New Roman"/>
                <w:szCs w:val="21"/>
              </w:rPr>
            </w:pPr>
            <w:r>
              <w:rPr>
                <w:rFonts w:ascii="Times New Roman" w:hAnsi="Times New Roman" w:cs="Times New Roman"/>
              </w:rPr>
              <w:t>3、依据《中华人民共和国渔业法（2013年修正本）》、《水产种质资源保护区管理暂行办法（2016年修正本）》进行管理。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HY45070010005</w:t>
            </w:r>
          </w:p>
        </w:tc>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广西钦州红树湾自治区级湿地自然公园红线区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rPr>
                <w:rFonts w:eastAsiaTheme="minorEastAsia"/>
              </w:rPr>
            </w:pPr>
            <w:r>
              <w:rPr>
                <w:rFonts w:eastAsiaTheme="minorEastAsia"/>
              </w:rPr>
              <w:t>1、</w:t>
            </w:r>
            <w:r>
              <w:t>依据《关于建立以国家公园为主体的自然保护地体系的指导意见》《广西壮族自治区红树林资源保护条例》进行管理，</w:t>
            </w:r>
            <w:r>
              <w:rPr>
                <w:rFonts w:eastAsiaTheme="minorEastAsia"/>
              </w:rPr>
              <w:t>生态保护红线内，</w:t>
            </w:r>
            <w:r>
              <w:t>实行自然保护地实行分区管控，原则上核心保护区内禁止人为活动，一般控制区内限制人为活动</w:t>
            </w:r>
            <w:r>
              <w:rPr>
                <w:rFonts w:eastAsiaTheme="minorEastAsia"/>
              </w:rPr>
              <w:t>，在符合现行法律法规前提下，除国家重大战略项目外，仅允许对生态功能不造成破坏的有限人为活动，主要包括：</w:t>
            </w:r>
          </w:p>
          <w:p>
            <w:pPr>
              <w:pStyle w:val="31"/>
              <w:rPr>
                <w:rFonts w:eastAsiaTheme="minorEastAsia"/>
              </w:rPr>
            </w:pPr>
            <w:r>
              <w:rPr>
                <w:rFonts w:hint="eastAsia" w:eastAsiaTheme="minorEastAsia"/>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eastAsiaTheme="minorEastAsia"/>
              </w:rPr>
              <w:t>；</w:t>
            </w:r>
          </w:p>
          <w:p>
            <w:pPr>
              <w:pStyle w:val="31"/>
              <w:rPr>
                <w:rFonts w:eastAsiaTheme="minorEastAsia"/>
              </w:rPr>
            </w:pPr>
            <w:r>
              <w:rPr>
                <w:rFonts w:eastAsiaTheme="minorEastAsia"/>
              </w:rPr>
              <w:t>（2）</w:t>
            </w:r>
            <w:r>
              <w:rPr>
                <w:rFonts w:hint="eastAsia" w:eastAsiaTheme="minorEastAsia"/>
              </w:rPr>
              <w:t>因国家重大能源资源安全需要开展的战略性能源资源勘查，公益性自然资源、海洋与灾害调查和地质勘查</w:t>
            </w:r>
            <w:r>
              <w:rPr>
                <w:rFonts w:eastAsiaTheme="minorEastAsia"/>
              </w:rPr>
              <w:t>；</w:t>
            </w:r>
          </w:p>
          <w:p>
            <w:pPr>
              <w:pStyle w:val="31"/>
              <w:rPr>
                <w:rFonts w:eastAsiaTheme="minorEastAsia"/>
              </w:rPr>
            </w:pPr>
            <w:r>
              <w:rPr>
                <w:rFonts w:eastAsiaTheme="minorEastAsia"/>
              </w:rPr>
              <w:t>（3）</w:t>
            </w:r>
            <w:r>
              <w:rPr>
                <w:rFonts w:hint="eastAsia" w:eastAsiaTheme="minorEastAsia"/>
              </w:rPr>
              <w:t>自然资源、海洋生态环境监测和执法以及海洋气象水文观测及涉海违法事件的查处等，灾害防治和应急抢险活动</w:t>
            </w:r>
            <w:r>
              <w:rPr>
                <w:rFonts w:eastAsiaTheme="minorEastAsia"/>
              </w:rPr>
              <w:t>；</w:t>
            </w:r>
          </w:p>
          <w:p>
            <w:pPr>
              <w:pStyle w:val="31"/>
              <w:rPr>
                <w:rFonts w:eastAsiaTheme="minorEastAsia"/>
              </w:rPr>
            </w:pPr>
            <w:r>
              <w:rPr>
                <w:rFonts w:eastAsiaTheme="minorEastAsia"/>
              </w:rPr>
              <w:t>（4）</w:t>
            </w:r>
            <w:r>
              <w:rPr>
                <w:rFonts w:hint="eastAsia" w:eastAsiaTheme="minorEastAsia"/>
              </w:rPr>
              <w:t>经依法批准进行的非破坏性科学研究观测、标本采集；经依法批准的考古调查发掘和文物保护活动；经依法批准的水产种质资源保护与开发利用活动</w:t>
            </w:r>
            <w:r>
              <w:rPr>
                <w:rFonts w:eastAsiaTheme="minorEastAsia"/>
              </w:rPr>
              <w:t>；</w:t>
            </w:r>
          </w:p>
          <w:p>
            <w:pPr>
              <w:pStyle w:val="31"/>
              <w:rPr>
                <w:rFonts w:eastAsiaTheme="minorEastAsia"/>
              </w:rPr>
            </w:pPr>
            <w:r>
              <w:rPr>
                <w:rFonts w:eastAsiaTheme="minorEastAsia"/>
              </w:rPr>
              <w:t>（5）不破坏生态功能的适度参观旅游和相关的必要公共设施建设；</w:t>
            </w:r>
          </w:p>
          <w:p>
            <w:pPr>
              <w:pStyle w:val="31"/>
              <w:rPr>
                <w:rFonts w:eastAsiaTheme="minorEastAsia"/>
              </w:rPr>
            </w:pPr>
            <w:r>
              <w:rPr>
                <w:rFonts w:eastAsiaTheme="minorEastAsia"/>
              </w:rPr>
              <w:t>（6）必须且无法避让、符合县级以上国土空间规划、港口规划的线性基础设施建设、防洪防潮和供水设施建设、运行维护与加固整治；</w:t>
            </w:r>
          </w:p>
          <w:p>
            <w:pPr>
              <w:pStyle w:val="31"/>
              <w:rPr>
                <w:rFonts w:eastAsiaTheme="minorEastAsia"/>
              </w:rPr>
            </w:pPr>
            <w:r>
              <w:rPr>
                <w:rFonts w:eastAsiaTheme="minorEastAsia"/>
              </w:rPr>
              <w:t>（7）重要生态修复工程。</w:t>
            </w:r>
          </w:p>
          <w:p>
            <w:pPr>
              <w:pStyle w:val="31"/>
              <w:rPr>
                <w:rFonts w:eastAsiaTheme="minorEastAsia"/>
              </w:rPr>
            </w:pPr>
            <w:r>
              <w:rPr>
                <w:rFonts w:eastAsiaTheme="minorEastAsia"/>
              </w:rPr>
              <w:t>2、生态保护红线管理办法和国土空间规划公布实施后，从其规定。</w:t>
            </w:r>
          </w:p>
          <w:p>
            <w:pPr>
              <w:pStyle w:val="31"/>
              <w:rPr>
                <w:rFonts w:eastAsiaTheme="minorEastAsia"/>
              </w:rPr>
            </w:pPr>
            <w:r>
              <w:rPr>
                <w:rFonts w:eastAsiaTheme="minorEastAsia"/>
              </w:rPr>
              <w:t>3、依据《国家海洋局关于加强滨海湿地管理与保护工作的指导意见》、《广西壮族自治区湿地保护条例》进行管理。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HY45070010006</w:t>
            </w:r>
          </w:p>
        </w:tc>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广西中华白海豚自治区级海洋自然公园红线区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rPr>
                <w:rFonts w:eastAsiaTheme="minorEastAsia"/>
              </w:rPr>
            </w:pPr>
            <w:r>
              <w:rPr>
                <w:rFonts w:eastAsiaTheme="minorEastAsia"/>
              </w:rPr>
              <w:t>1、</w:t>
            </w:r>
            <w:r>
              <w:t>依据《关于建立以国家公园为主体的自然保护地体系的指导意见》进行管理，</w:t>
            </w:r>
            <w:r>
              <w:rPr>
                <w:rFonts w:eastAsiaTheme="minorEastAsia"/>
              </w:rPr>
              <w:t>生态保护红线内，</w:t>
            </w:r>
            <w:r>
              <w:t>实行自然保护地实行分区管控，原则上核心保护区内禁止人为活动，一般控制区内限制人为活动</w:t>
            </w:r>
            <w:r>
              <w:rPr>
                <w:rFonts w:eastAsiaTheme="minorEastAsia"/>
              </w:rPr>
              <w:t>，在符合现行法律法规前提下，除国家重大战略项目外，仅允许对生态功能不造成破坏的有限人为活动，主要包括：</w:t>
            </w:r>
          </w:p>
          <w:p>
            <w:pPr>
              <w:pStyle w:val="31"/>
              <w:rPr>
                <w:rFonts w:eastAsiaTheme="minorEastAsia"/>
              </w:rPr>
            </w:pPr>
            <w:r>
              <w:rPr>
                <w:rFonts w:hint="eastAsia" w:eastAsiaTheme="minorEastAsia"/>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eastAsiaTheme="minorEastAsia"/>
              </w:rPr>
              <w:t>；</w:t>
            </w:r>
          </w:p>
          <w:p>
            <w:pPr>
              <w:pStyle w:val="31"/>
              <w:rPr>
                <w:rFonts w:eastAsiaTheme="minorEastAsia"/>
              </w:rPr>
            </w:pPr>
            <w:r>
              <w:rPr>
                <w:rFonts w:eastAsiaTheme="minorEastAsia"/>
              </w:rPr>
              <w:t>（2）</w:t>
            </w:r>
            <w:r>
              <w:rPr>
                <w:rFonts w:hint="eastAsia" w:eastAsiaTheme="minorEastAsia"/>
              </w:rPr>
              <w:t>因国家重大能源资源安全需要开展的战略性能源资源勘查，公益性自然资源、海洋与灾害调查和地质勘查</w:t>
            </w:r>
            <w:r>
              <w:rPr>
                <w:rFonts w:eastAsiaTheme="minorEastAsia"/>
              </w:rPr>
              <w:t>；</w:t>
            </w:r>
          </w:p>
          <w:p>
            <w:pPr>
              <w:pStyle w:val="31"/>
              <w:rPr>
                <w:rFonts w:eastAsiaTheme="minorEastAsia"/>
              </w:rPr>
            </w:pPr>
            <w:r>
              <w:rPr>
                <w:rFonts w:eastAsiaTheme="minorEastAsia"/>
              </w:rPr>
              <w:t>（3）</w:t>
            </w:r>
            <w:r>
              <w:rPr>
                <w:rFonts w:hint="eastAsia" w:eastAsiaTheme="minorEastAsia"/>
              </w:rPr>
              <w:t>自然资源、海洋生态环境监测和执法以及海洋气象水文观测及涉海违法事件的查处等，灾害防治和应急抢险活动</w:t>
            </w:r>
            <w:r>
              <w:rPr>
                <w:rFonts w:eastAsiaTheme="minorEastAsia"/>
              </w:rPr>
              <w:t>；</w:t>
            </w:r>
          </w:p>
          <w:p>
            <w:pPr>
              <w:pStyle w:val="31"/>
              <w:rPr>
                <w:rFonts w:eastAsiaTheme="minorEastAsia"/>
              </w:rPr>
            </w:pPr>
            <w:r>
              <w:rPr>
                <w:rFonts w:eastAsiaTheme="minorEastAsia"/>
              </w:rPr>
              <w:t>（4）</w:t>
            </w:r>
            <w:r>
              <w:rPr>
                <w:rFonts w:hint="eastAsia" w:eastAsiaTheme="minorEastAsia"/>
              </w:rPr>
              <w:t>经依法批准进行的非破坏性科学研究观测、标本采集；经依法批准的考古调查发掘和文物保护活动；经依法批准的水产种质资源保护与开发利用活动</w:t>
            </w:r>
            <w:r>
              <w:rPr>
                <w:rFonts w:eastAsiaTheme="minorEastAsia"/>
              </w:rPr>
              <w:t>；</w:t>
            </w:r>
          </w:p>
          <w:p>
            <w:pPr>
              <w:pStyle w:val="31"/>
              <w:rPr>
                <w:rFonts w:eastAsiaTheme="minorEastAsia"/>
              </w:rPr>
            </w:pPr>
            <w:r>
              <w:rPr>
                <w:rFonts w:eastAsiaTheme="minorEastAsia"/>
              </w:rPr>
              <w:t>（5）不破坏生态功能的适度参观旅游和相关的必要公共设施建设；</w:t>
            </w:r>
          </w:p>
          <w:p>
            <w:pPr>
              <w:pStyle w:val="31"/>
              <w:rPr>
                <w:rFonts w:eastAsiaTheme="minorEastAsia"/>
              </w:rPr>
            </w:pPr>
            <w:r>
              <w:rPr>
                <w:rFonts w:eastAsiaTheme="minorEastAsia"/>
              </w:rPr>
              <w:t>（6）必须且无法避让、符合县级以上国土空间规划、港口规划的线性基础设施建设、防洪防潮和供水设施建设、运行维护与加固整治；</w:t>
            </w:r>
          </w:p>
          <w:p>
            <w:pPr>
              <w:pStyle w:val="31"/>
              <w:rPr>
                <w:rFonts w:eastAsiaTheme="minorEastAsia"/>
              </w:rPr>
            </w:pPr>
            <w:r>
              <w:rPr>
                <w:rFonts w:eastAsiaTheme="minorEastAsia"/>
              </w:rPr>
              <w:t>（7）重要生态修复工程。</w:t>
            </w:r>
          </w:p>
          <w:p>
            <w:pPr>
              <w:pStyle w:val="31"/>
              <w:rPr>
                <w:rFonts w:eastAsiaTheme="minorEastAsia"/>
              </w:rPr>
            </w:pPr>
            <w:r>
              <w:rPr>
                <w:rFonts w:eastAsiaTheme="minorEastAsia"/>
              </w:rPr>
              <w:t>2、生态保护红线管理办法和国土空间规划公布实施后，从其规定。</w:t>
            </w:r>
          </w:p>
          <w:p>
            <w:pPr>
              <w:pStyle w:val="31"/>
            </w:pPr>
            <w:r>
              <w:rPr>
                <w:rFonts w:eastAsiaTheme="minorEastAsia"/>
              </w:rPr>
              <w:t>3、依据《中华白海豚保护行动计划（2017—2026年）》进行管理。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HY45070010007</w:t>
            </w:r>
          </w:p>
        </w:tc>
        <w:tc>
          <w:tcPr>
            <w:tcW w:w="1984" w:type="dxa"/>
            <w:shd w:val="clear" w:color="auto" w:fill="auto"/>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钦州市大风江口红树林红线区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rPr>
                <w:rFonts w:eastAsiaTheme="minorEastAsia"/>
              </w:rPr>
            </w:pPr>
            <w:r>
              <w:rPr>
                <w:rFonts w:eastAsiaTheme="minorEastAsia"/>
              </w:rPr>
              <w:t>1、</w:t>
            </w:r>
            <w:r>
              <w:t>依据《关于建立以国家公园为主体的自然保护地体系的指导意见》《广西壮族自治区红树林资源保护条例》进行管理，</w:t>
            </w:r>
            <w:r>
              <w:rPr>
                <w:rFonts w:eastAsiaTheme="minorEastAsia"/>
              </w:rPr>
              <w:t>生态保护红线内，</w:t>
            </w:r>
            <w:r>
              <w:t>实行自然保护地实行分区管控，原则上核心保护区内禁止人为活动，一般控制区内限制人为活动</w:t>
            </w:r>
            <w:r>
              <w:rPr>
                <w:rFonts w:eastAsiaTheme="minorEastAsia"/>
              </w:rPr>
              <w:t>，在符合现行法律法规前提下，除国家重大战略项目外，仅允许对生态功能不造成破坏的有限人为活动，主要包括：</w:t>
            </w:r>
          </w:p>
          <w:p>
            <w:pPr>
              <w:pStyle w:val="31"/>
              <w:rPr>
                <w:rFonts w:eastAsiaTheme="minorEastAsia"/>
              </w:rPr>
            </w:pPr>
            <w:r>
              <w:rPr>
                <w:rFonts w:hint="eastAsia" w:eastAsiaTheme="minorEastAsia"/>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eastAsiaTheme="minorEastAsia"/>
              </w:rPr>
              <w:t>；</w:t>
            </w:r>
          </w:p>
          <w:p>
            <w:pPr>
              <w:pStyle w:val="31"/>
              <w:rPr>
                <w:rFonts w:eastAsiaTheme="minorEastAsia"/>
              </w:rPr>
            </w:pPr>
            <w:r>
              <w:rPr>
                <w:rFonts w:eastAsiaTheme="minorEastAsia"/>
              </w:rPr>
              <w:t>（2）</w:t>
            </w:r>
            <w:r>
              <w:rPr>
                <w:rFonts w:hint="eastAsia" w:eastAsiaTheme="minorEastAsia"/>
              </w:rPr>
              <w:t>因国家重大能源资源安全需要开展的战略性能源资源勘查，公益性自然资源、海洋与灾害调查和地质勘查</w:t>
            </w:r>
            <w:r>
              <w:rPr>
                <w:rFonts w:eastAsiaTheme="minorEastAsia"/>
              </w:rPr>
              <w:t>；</w:t>
            </w:r>
          </w:p>
          <w:p>
            <w:pPr>
              <w:pStyle w:val="31"/>
              <w:rPr>
                <w:rFonts w:eastAsiaTheme="minorEastAsia"/>
              </w:rPr>
            </w:pPr>
            <w:r>
              <w:rPr>
                <w:rFonts w:eastAsiaTheme="minorEastAsia"/>
              </w:rPr>
              <w:t>（3）</w:t>
            </w:r>
            <w:r>
              <w:rPr>
                <w:rFonts w:hint="eastAsia" w:eastAsiaTheme="minorEastAsia"/>
              </w:rPr>
              <w:t>自然资源、海洋生态环境监测和执法以及海洋气象水文观测及涉海违法事件的查处等，灾害防治和应急抢险活动</w:t>
            </w:r>
            <w:r>
              <w:rPr>
                <w:rFonts w:eastAsiaTheme="minorEastAsia"/>
              </w:rPr>
              <w:t>；</w:t>
            </w:r>
          </w:p>
          <w:p>
            <w:pPr>
              <w:pStyle w:val="31"/>
              <w:rPr>
                <w:rFonts w:eastAsiaTheme="minorEastAsia"/>
              </w:rPr>
            </w:pPr>
            <w:r>
              <w:rPr>
                <w:rFonts w:eastAsiaTheme="minorEastAsia"/>
              </w:rPr>
              <w:t>（4）</w:t>
            </w:r>
            <w:r>
              <w:rPr>
                <w:rFonts w:hint="eastAsia" w:eastAsiaTheme="minorEastAsia"/>
              </w:rPr>
              <w:t>经依法批准进行的非破坏性科学研究观测、标本采集；经依法批准的考古调查发掘和文物保护活动；经依法批准的水产种质资源保护与开发利用活动</w:t>
            </w:r>
            <w:r>
              <w:rPr>
                <w:rFonts w:eastAsiaTheme="minorEastAsia"/>
              </w:rPr>
              <w:t>；</w:t>
            </w:r>
          </w:p>
          <w:p>
            <w:pPr>
              <w:pStyle w:val="31"/>
              <w:rPr>
                <w:rFonts w:eastAsiaTheme="minorEastAsia"/>
              </w:rPr>
            </w:pPr>
            <w:r>
              <w:rPr>
                <w:rFonts w:eastAsiaTheme="minorEastAsia"/>
              </w:rPr>
              <w:t>（5）不破坏生态功能的适度参观旅游和相关的必要公共设施建设；</w:t>
            </w:r>
          </w:p>
          <w:p>
            <w:pPr>
              <w:pStyle w:val="31"/>
              <w:rPr>
                <w:rFonts w:eastAsiaTheme="minorEastAsia"/>
              </w:rPr>
            </w:pPr>
            <w:r>
              <w:rPr>
                <w:rFonts w:eastAsiaTheme="minorEastAsia"/>
              </w:rPr>
              <w:t>（6）必须且无法避让、符合县级以上国土空间规划、港口规划的线性基础设施建设、防洪防潮和供水设施建设、运行维护与加固整治；</w:t>
            </w:r>
          </w:p>
          <w:p>
            <w:pPr>
              <w:pStyle w:val="31"/>
              <w:rPr>
                <w:rFonts w:eastAsiaTheme="minorEastAsia"/>
              </w:rPr>
            </w:pPr>
            <w:r>
              <w:rPr>
                <w:rFonts w:eastAsiaTheme="minorEastAsia"/>
              </w:rPr>
              <w:t>（7）重要生态修复工程。</w:t>
            </w:r>
          </w:p>
          <w:p>
            <w:pPr>
              <w:pStyle w:val="31"/>
              <w:rPr>
                <w:rFonts w:eastAsiaTheme="minorEastAsia"/>
              </w:rPr>
            </w:pPr>
            <w:r>
              <w:rPr>
                <w:rFonts w:eastAsiaTheme="minorEastAsia"/>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HY45070010008</w:t>
            </w:r>
          </w:p>
        </w:tc>
        <w:tc>
          <w:tcPr>
            <w:tcW w:w="1984" w:type="dxa"/>
            <w:shd w:val="clear" w:color="auto" w:fill="auto"/>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钦州市金鼓江红树林红线区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rPr>
                <w:rFonts w:ascii="Times New Roman" w:hAnsi="Times New Roman" w:cs="Times New Roman"/>
              </w:rPr>
            </w:pPr>
            <w:r>
              <w:rPr>
                <w:rFonts w:ascii="Times New Roman" w:hAnsi="Times New Roman" w:cs="Times New Roman"/>
              </w:rPr>
              <w:t>1、</w:t>
            </w:r>
            <w:r>
              <w:rPr>
                <w:rFonts w:ascii="Times New Roman" w:hAnsi="Times New Roman" w:eastAsia="宋体" w:cs="Times New Roman"/>
              </w:rPr>
              <w:t>依据《关于建立以国家公园为主体的自然保护地体系的指导意见》</w:t>
            </w:r>
            <w:r>
              <w:rPr>
                <w:rFonts w:ascii="Times New Roman" w:hAnsi="Times New Roman" w:cs="Times New Roman"/>
                <w:szCs w:val="21"/>
              </w:rPr>
              <w:t>《广西壮族自治区红树林资源保护条例》进行管理，</w:t>
            </w:r>
            <w:r>
              <w:rPr>
                <w:rFonts w:ascii="Times New Roman" w:hAnsi="Times New Roman" w:cs="Times New Roman"/>
              </w:rPr>
              <w:t>生态保护红线内，</w:t>
            </w:r>
            <w:r>
              <w:rPr>
                <w:rFonts w:ascii="Times New Roman" w:hAnsi="Times New Roman" w:eastAsia="宋体" w:cs="Times New Roman"/>
              </w:rPr>
              <w:t>实行自然保护地实行分区管控，原则上核心保护区内禁止人为活动，一般控制区内限制人为活动</w:t>
            </w:r>
            <w:r>
              <w:rPr>
                <w:rFonts w:ascii="Times New Roman" w:hAnsi="Times New Roman" w:cs="Times New Roman"/>
              </w:rPr>
              <w:t>，在符合现行法律法规前提下，除国家重大战略项目外，仅允许对生态功能不造成破坏的有限人为活动，主要包括：</w:t>
            </w:r>
          </w:p>
          <w:p>
            <w:pPr>
              <w:rPr>
                <w:rFonts w:ascii="Times New Roman" w:hAnsi="Times New Roman" w:cs="Times New Roman"/>
              </w:rPr>
            </w:pPr>
            <w:r>
              <w:rPr>
                <w:rFonts w:hint="eastAsia" w:ascii="Times New Roman" w:hAnsi="Times New Roman" w:cs="Times New Roman"/>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因国家重大能源资源安全需要开展的战略性能源资源勘查，公益性自然资源、海洋与灾害调查和地质勘查</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自然资源、海洋生态环境监测和执法以及海洋气象水文观测及涉海违法事件的查处等，灾害防治和应急抢险活动</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经依法批准进行的非破坏性科学研究观测、标本采集；经依法批准的考古调查发掘和文物保护活动；经依法批准的水产种质资源保护与开发利用活动</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（5）不破坏生态功能的适度参观旅游和相关的必要公共设施建设；</w:t>
            </w:r>
          </w:p>
          <w:p>
            <w:pPr>
              <w:rPr>
                <w:rFonts w:ascii="Times New Roman" w:hAnsi="Times New Roman" w:cs="Times New Roman"/>
              </w:rPr>
            </w:pPr>
            <w:r>
              <w:rPr>
                <w:rFonts w:ascii="Times New Roman" w:hAnsi="Times New Roman" w:cs="Times New Roman"/>
              </w:rPr>
              <w:t>（6）必须且无法避让、符合县级以上国土空间规划、港口规划的线性基础设施建设、防洪防潮和供水设施建设、运行维护与加固整治；</w:t>
            </w:r>
          </w:p>
          <w:p>
            <w:pPr>
              <w:rPr>
                <w:rFonts w:ascii="Times New Roman" w:hAnsi="Times New Roman" w:cs="Times New Roman"/>
              </w:rPr>
            </w:pPr>
            <w:r>
              <w:rPr>
                <w:rFonts w:ascii="Times New Roman" w:hAnsi="Times New Roman" w:cs="Times New Roman"/>
              </w:rPr>
              <w:t>（7）重要生态修复工程。</w:t>
            </w:r>
          </w:p>
          <w:p>
            <w:pPr>
              <w:rPr>
                <w:rFonts w:ascii="Times New Roman" w:hAnsi="Times New Roman" w:cs="Times New Roman"/>
              </w:rPr>
            </w:pPr>
            <w:r>
              <w:rPr>
                <w:rFonts w:ascii="Times New Roman" w:hAnsi="Times New Roman" w:cs="Times New Roman"/>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HY45070010009</w:t>
            </w:r>
          </w:p>
        </w:tc>
        <w:tc>
          <w:tcPr>
            <w:tcW w:w="1984" w:type="dxa"/>
            <w:shd w:val="clear" w:color="auto" w:fill="auto"/>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钦州市康熙岭红树林红线区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rPr>
                <w:rFonts w:ascii="Times New Roman" w:hAnsi="Times New Roman" w:cs="Times New Roman"/>
              </w:rPr>
            </w:pPr>
            <w:r>
              <w:rPr>
                <w:rFonts w:ascii="Times New Roman" w:hAnsi="Times New Roman" w:cs="Times New Roman"/>
              </w:rPr>
              <w:t>1、</w:t>
            </w:r>
            <w:r>
              <w:rPr>
                <w:rFonts w:ascii="Times New Roman" w:hAnsi="Times New Roman" w:eastAsia="宋体" w:cs="Times New Roman"/>
              </w:rPr>
              <w:t>依据《关于建立以国家公园为主体的自然保护地体系的指导意见》</w:t>
            </w:r>
            <w:r>
              <w:rPr>
                <w:rFonts w:ascii="Times New Roman" w:hAnsi="Times New Roman" w:cs="Times New Roman"/>
                <w:szCs w:val="21"/>
              </w:rPr>
              <w:t>《广西壮族自治区红树林资源保护条例》进行管理，</w:t>
            </w:r>
            <w:r>
              <w:rPr>
                <w:rFonts w:ascii="Times New Roman" w:hAnsi="Times New Roman" w:cs="Times New Roman"/>
              </w:rPr>
              <w:t>生态保护红线内，</w:t>
            </w:r>
            <w:r>
              <w:rPr>
                <w:rFonts w:ascii="Times New Roman" w:hAnsi="Times New Roman" w:eastAsia="宋体" w:cs="Times New Roman"/>
              </w:rPr>
              <w:t>实行自然保护地实行分区管控，原则上核心保护区内禁止人为活动，一般控制区内限制人为活动</w:t>
            </w:r>
            <w:r>
              <w:rPr>
                <w:rFonts w:ascii="Times New Roman" w:hAnsi="Times New Roman" w:cs="Times New Roman"/>
              </w:rPr>
              <w:t>，在符合现行法律法规前提下，除国家重大战略项目外，仅允许对生态功能不造成破坏的有限人为活动，主要包括：</w:t>
            </w:r>
          </w:p>
          <w:p>
            <w:pPr>
              <w:rPr>
                <w:rFonts w:ascii="Times New Roman" w:hAnsi="Times New Roman" w:cs="Times New Roman"/>
              </w:rPr>
            </w:pPr>
            <w:r>
              <w:rPr>
                <w:rFonts w:hint="eastAsia" w:ascii="Times New Roman" w:hAnsi="Times New Roman" w:cs="Times New Roman"/>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因国家重大能源资源安全需要开展的战略性能源资源勘查，公益性自然资源、海洋与灾害调查和地质勘查</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自然资源、海洋生态环境监测和执法以及海洋气象水文观测及涉海违法事件的查处等，灾害防治和应急抢险活动</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经依法批准进行的非破坏性科学研究观测、标本采集；经依法批准的考古调查发掘和文物保护活动；经依法批准的水产种质资源保护与开发利用活动</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（5）不破坏生态功能的适度参观旅游和相关的必要公共设施建设；</w:t>
            </w:r>
          </w:p>
          <w:p>
            <w:pPr>
              <w:rPr>
                <w:rFonts w:ascii="Times New Roman" w:hAnsi="Times New Roman" w:cs="Times New Roman"/>
              </w:rPr>
            </w:pPr>
            <w:r>
              <w:rPr>
                <w:rFonts w:ascii="Times New Roman" w:hAnsi="Times New Roman" w:cs="Times New Roman"/>
              </w:rPr>
              <w:t>（6）必须且无法避让、符合县级以上国土空间规划、港口规划的线性基础设施建设、防洪防潮和供水设施建设、运行维护与加固整治；</w:t>
            </w:r>
          </w:p>
          <w:p>
            <w:pPr>
              <w:rPr>
                <w:rFonts w:ascii="Times New Roman" w:hAnsi="Times New Roman" w:cs="Times New Roman"/>
              </w:rPr>
            </w:pPr>
            <w:r>
              <w:rPr>
                <w:rFonts w:ascii="Times New Roman" w:hAnsi="Times New Roman" w:cs="Times New Roman"/>
              </w:rPr>
              <w:t>（7）重要生态修复工程。</w:t>
            </w:r>
          </w:p>
          <w:p>
            <w:pPr>
              <w:rPr>
                <w:rFonts w:ascii="Times New Roman" w:hAnsi="Times New Roman" w:cs="Times New Roman"/>
                <w:szCs w:val="21"/>
              </w:rPr>
            </w:pPr>
            <w:r>
              <w:rPr>
                <w:rFonts w:ascii="Times New Roman" w:hAnsi="Times New Roman" w:cs="Times New Roman"/>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HY45070010010</w:t>
            </w:r>
          </w:p>
        </w:tc>
        <w:tc>
          <w:tcPr>
            <w:tcW w:w="1984" w:type="dxa"/>
            <w:shd w:val="clear" w:color="auto" w:fill="auto"/>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钦州市康熙岭重要滩涂及浅海水域红线区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rPr>
                <w:rFonts w:eastAsiaTheme="minorEastAsia"/>
              </w:rPr>
            </w:pPr>
            <w:r>
              <w:rPr>
                <w:rFonts w:eastAsiaTheme="minorEastAsia"/>
              </w:rPr>
              <w:t>1、</w:t>
            </w:r>
            <w:r>
              <w:t>依据《关于建立以国家公园为主体的自然保护地体系的指导意见》进行管理，</w:t>
            </w:r>
            <w:r>
              <w:rPr>
                <w:rFonts w:eastAsiaTheme="minorEastAsia"/>
              </w:rPr>
              <w:t>生态保护红线内，</w:t>
            </w:r>
            <w:r>
              <w:t>实行自然保护地实行分区管控，原则上核心保护区内禁止人为活动，一般控制区内限制人为活动</w:t>
            </w:r>
            <w:r>
              <w:rPr>
                <w:rFonts w:eastAsiaTheme="minorEastAsia"/>
              </w:rPr>
              <w:t>，在符合现行法律法规前提下，除国家重大战略项目外，仅允许对生态功能不造成破坏的有限人为活动，主要包括：</w:t>
            </w:r>
          </w:p>
          <w:p>
            <w:pPr>
              <w:pStyle w:val="31"/>
              <w:rPr>
                <w:rFonts w:eastAsiaTheme="minorEastAsia"/>
              </w:rPr>
            </w:pPr>
            <w:r>
              <w:rPr>
                <w:rFonts w:hint="eastAsia" w:eastAsiaTheme="minorEastAsia"/>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eastAsiaTheme="minorEastAsia"/>
              </w:rPr>
              <w:t>；</w:t>
            </w:r>
          </w:p>
          <w:p>
            <w:pPr>
              <w:pStyle w:val="31"/>
              <w:rPr>
                <w:rFonts w:eastAsiaTheme="minorEastAsia"/>
              </w:rPr>
            </w:pPr>
            <w:r>
              <w:rPr>
                <w:rFonts w:eastAsiaTheme="minorEastAsia"/>
              </w:rPr>
              <w:t>（2）</w:t>
            </w:r>
            <w:r>
              <w:rPr>
                <w:rFonts w:hint="eastAsia" w:eastAsiaTheme="minorEastAsia"/>
              </w:rPr>
              <w:t>因国家重大能源资源安全需要开展的战略性能源资源勘查，公益性自然资源、海洋与灾害调查和地质勘查</w:t>
            </w:r>
            <w:r>
              <w:rPr>
                <w:rFonts w:eastAsiaTheme="minorEastAsia"/>
              </w:rPr>
              <w:t>；</w:t>
            </w:r>
          </w:p>
          <w:p>
            <w:pPr>
              <w:pStyle w:val="31"/>
              <w:rPr>
                <w:rFonts w:eastAsiaTheme="minorEastAsia"/>
              </w:rPr>
            </w:pPr>
            <w:r>
              <w:rPr>
                <w:rFonts w:eastAsiaTheme="minorEastAsia"/>
              </w:rPr>
              <w:t>（3）</w:t>
            </w:r>
            <w:r>
              <w:rPr>
                <w:rFonts w:hint="eastAsia" w:eastAsiaTheme="minorEastAsia"/>
              </w:rPr>
              <w:t>自然资源、海洋生态环境监测和执法以及海洋气象水文观测及涉海违法事件的查处等，灾害防治和应急抢险活动</w:t>
            </w:r>
            <w:r>
              <w:rPr>
                <w:rFonts w:eastAsiaTheme="minorEastAsia"/>
              </w:rPr>
              <w:t>；</w:t>
            </w:r>
          </w:p>
          <w:p>
            <w:pPr>
              <w:pStyle w:val="31"/>
              <w:rPr>
                <w:rFonts w:eastAsiaTheme="minorEastAsia"/>
              </w:rPr>
            </w:pPr>
            <w:r>
              <w:rPr>
                <w:rFonts w:eastAsiaTheme="minorEastAsia"/>
              </w:rPr>
              <w:t>（4）</w:t>
            </w:r>
            <w:r>
              <w:rPr>
                <w:rFonts w:hint="eastAsia" w:eastAsiaTheme="minorEastAsia"/>
              </w:rPr>
              <w:t>经依法批准进行的非破坏性科学研究观测、标本采集；经依法批准的考古调查发掘和文物保护活动；经依法批准的水产种质资源保护与开发利用活动</w:t>
            </w:r>
            <w:r>
              <w:rPr>
                <w:rFonts w:eastAsiaTheme="minorEastAsia"/>
              </w:rPr>
              <w:t>；</w:t>
            </w:r>
          </w:p>
          <w:p>
            <w:pPr>
              <w:pStyle w:val="31"/>
              <w:rPr>
                <w:rFonts w:eastAsiaTheme="minorEastAsia"/>
              </w:rPr>
            </w:pPr>
            <w:r>
              <w:rPr>
                <w:rFonts w:eastAsiaTheme="minorEastAsia"/>
              </w:rPr>
              <w:t>（5）不破坏生态功能的适度参观旅游和相关的必要公共设施建设；</w:t>
            </w:r>
          </w:p>
          <w:p>
            <w:pPr>
              <w:pStyle w:val="31"/>
              <w:rPr>
                <w:rFonts w:eastAsiaTheme="minorEastAsia"/>
              </w:rPr>
            </w:pPr>
            <w:r>
              <w:rPr>
                <w:rFonts w:eastAsiaTheme="minorEastAsia"/>
              </w:rPr>
              <w:t>（6）必须且无法避让、符合县级以上国土空间规划、港口规划的线性基础设施建设、防洪防潮和供水设施建设、运行维护与加固整治；</w:t>
            </w:r>
          </w:p>
          <w:p>
            <w:pPr>
              <w:pStyle w:val="31"/>
              <w:rPr>
                <w:rFonts w:eastAsiaTheme="minorEastAsia"/>
              </w:rPr>
            </w:pPr>
            <w:r>
              <w:rPr>
                <w:rFonts w:eastAsiaTheme="minorEastAsia"/>
              </w:rPr>
              <w:t>（7）重要生态修复工程。</w:t>
            </w:r>
          </w:p>
          <w:p>
            <w:pPr>
              <w:pStyle w:val="31"/>
            </w:pPr>
            <w:r>
              <w:rPr>
                <w:rFonts w:eastAsiaTheme="minorEastAsia"/>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HY45070010011</w:t>
            </w:r>
          </w:p>
        </w:tc>
        <w:tc>
          <w:tcPr>
            <w:tcW w:w="1984" w:type="dxa"/>
            <w:shd w:val="clear" w:color="auto" w:fill="auto"/>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钦州市龙门港红树林红线区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rPr>
                <w:rFonts w:ascii="Times New Roman" w:hAnsi="Times New Roman" w:cs="Times New Roman"/>
              </w:rPr>
            </w:pPr>
            <w:r>
              <w:rPr>
                <w:rFonts w:ascii="Times New Roman" w:hAnsi="Times New Roman" w:cs="Times New Roman"/>
              </w:rPr>
              <w:t>1、</w:t>
            </w:r>
            <w:r>
              <w:rPr>
                <w:rFonts w:ascii="Times New Roman" w:hAnsi="Times New Roman" w:eastAsia="宋体" w:cs="Times New Roman"/>
              </w:rPr>
              <w:t>依据《关于建立以国家公园为主体的自然保护地体系的指导意见》</w:t>
            </w:r>
            <w:r>
              <w:rPr>
                <w:rFonts w:ascii="Times New Roman" w:hAnsi="Times New Roman" w:cs="Times New Roman"/>
                <w:szCs w:val="21"/>
              </w:rPr>
              <w:t>《广西壮族自治区红树林资源保护条例》进行管理，</w:t>
            </w:r>
            <w:r>
              <w:rPr>
                <w:rFonts w:ascii="Times New Roman" w:hAnsi="Times New Roman" w:cs="Times New Roman"/>
              </w:rPr>
              <w:t>生态保护红线内，</w:t>
            </w:r>
            <w:r>
              <w:rPr>
                <w:rFonts w:ascii="Times New Roman" w:hAnsi="Times New Roman" w:eastAsia="宋体" w:cs="Times New Roman"/>
              </w:rPr>
              <w:t>实行自然保护地实行分区管控，原则上核心保护区内禁止人为活动，一般控制区内限制人为活动</w:t>
            </w:r>
            <w:r>
              <w:rPr>
                <w:rFonts w:ascii="Times New Roman" w:hAnsi="Times New Roman" w:cs="Times New Roman"/>
              </w:rPr>
              <w:t>，在符合现行法律法规前提下，除国家重大战略项目外，仅允许对生态功能不造成破坏的有限人为活动，主要包括：</w:t>
            </w:r>
          </w:p>
          <w:p>
            <w:pPr>
              <w:rPr>
                <w:rFonts w:ascii="Times New Roman" w:hAnsi="Times New Roman" w:cs="Times New Roman"/>
              </w:rPr>
            </w:pPr>
            <w:r>
              <w:rPr>
                <w:rFonts w:hint="eastAsia" w:ascii="Times New Roman" w:hAnsi="Times New Roman" w:cs="Times New Roman"/>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因国家重大能源资源安全需要开展的战略性能源资源勘查，公益性自然资源、海洋与灾害调查和地质勘查</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自然资源、海洋生态环境监测和执法以及海洋气象水文观测及涉海违法事件的查处等，灾害防治和应急抢险活动</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经依法批准进行的非破坏性科学研究观测、标本采集；经依法批准的考古调查发掘和文物保护活动；经依法批准的水产种质资源保护与开发利用活动</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（5）不破坏生态功能的适度参观旅游和相关的必要公共设施建设；</w:t>
            </w:r>
          </w:p>
          <w:p>
            <w:pPr>
              <w:rPr>
                <w:rFonts w:ascii="Times New Roman" w:hAnsi="Times New Roman" w:cs="Times New Roman"/>
              </w:rPr>
            </w:pPr>
            <w:r>
              <w:rPr>
                <w:rFonts w:ascii="Times New Roman" w:hAnsi="Times New Roman" w:cs="Times New Roman"/>
              </w:rPr>
              <w:t>（6）必须且无法避让、符合县级以上国土空间规划、港口规划的线性基础设施建设、防洪防潮和供水设施建设、运行维护与加固整治；</w:t>
            </w:r>
          </w:p>
          <w:p>
            <w:pPr>
              <w:rPr>
                <w:rFonts w:ascii="Times New Roman" w:hAnsi="Times New Roman" w:cs="Times New Roman"/>
              </w:rPr>
            </w:pPr>
            <w:r>
              <w:rPr>
                <w:rFonts w:ascii="Times New Roman" w:hAnsi="Times New Roman" w:cs="Times New Roman"/>
              </w:rPr>
              <w:t>（7）重要生态修复工程。</w:t>
            </w:r>
          </w:p>
          <w:p>
            <w:pPr>
              <w:rPr>
                <w:rFonts w:ascii="Times New Roman" w:hAnsi="Times New Roman" w:cs="Times New Roman"/>
                <w:szCs w:val="21"/>
              </w:rPr>
            </w:pPr>
            <w:r>
              <w:rPr>
                <w:rFonts w:ascii="Times New Roman" w:hAnsi="Times New Roman" w:cs="Times New Roman"/>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HY45070010012</w:t>
            </w:r>
          </w:p>
        </w:tc>
        <w:tc>
          <w:tcPr>
            <w:tcW w:w="1984" w:type="dxa"/>
            <w:shd w:val="clear" w:color="auto" w:fill="auto"/>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钦州市鹿耳环红树林红线区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rPr>
                <w:rFonts w:ascii="Times New Roman" w:hAnsi="Times New Roman" w:cs="Times New Roman"/>
              </w:rPr>
            </w:pPr>
            <w:r>
              <w:rPr>
                <w:rFonts w:ascii="Times New Roman" w:hAnsi="Times New Roman" w:cs="Times New Roman"/>
              </w:rPr>
              <w:t>1、</w:t>
            </w:r>
            <w:r>
              <w:rPr>
                <w:rFonts w:ascii="Times New Roman" w:hAnsi="Times New Roman" w:eastAsia="宋体" w:cs="Times New Roman"/>
              </w:rPr>
              <w:t>依据《关于建立以国家公园为主体的自然保护地体系的指导意见》</w:t>
            </w:r>
            <w:r>
              <w:rPr>
                <w:rFonts w:ascii="Times New Roman" w:hAnsi="Times New Roman" w:cs="Times New Roman"/>
                <w:szCs w:val="21"/>
              </w:rPr>
              <w:t>《广西壮族自治区红树林资源保护条例》进行管理，</w:t>
            </w:r>
            <w:r>
              <w:rPr>
                <w:rFonts w:ascii="Times New Roman" w:hAnsi="Times New Roman" w:cs="Times New Roman"/>
              </w:rPr>
              <w:t>生态保护红线内，</w:t>
            </w:r>
            <w:r>
              <w:rPr>
                <w:rFonts w:ascii="Times New Roman" w:hAnsi="Times New Roman" w:eastAsia="宋体" w:cs="Times New Roman"/>
              </w:rPr>
              <w:t>实行自然保护地实行分区管控，原则上核心保护区内禁止人为活动，一般控制区内限制人为活动</w:t>
            </w:r>
            <w:r>
              <w:rPr>
                <w:rFonts w:ascii="Times New Roman" w:hAnsi="Times New Roman" w:cs="Times New Roman"/>
              </w:rPr>
              <w:t>，在符合现行法律法规前提下，除国家重大战略项目外，仅允许对生态功能不造成破坏的有限人为活动，主要包括：</w:t>
            </w:r>
          </w:p>
          <w:p>
            <w:pPr>
              <w:rPr>
                <w:rFonts w:ascii="Times New Roman" w:hAnsi="Times New Roman" w:cs="Times New Roman"/>
              </w:rPr>
            </w:pPr>
            <w:r>
              <w:rPr>
                <w:rFonts w:hint="eastAsia" w:ascii="Times New Roman" w:hAnsi="Times New Roman" w:cs="Times New Roman"/>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因国家重大能源资源安全需要开展的战略性能源资源勘查，公益性自然资源、海洋与灾害调查和地质勘查</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自然资源、海洋生态环境监测和执法以及海洋气象水文观测及涉海违法事件的查处等，灾害防治和应急抢险活动</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经依法批准进行的非破坏性科学研究观测、标本采集；经依法批准的考古调查发掘和文物保护活动；经依法批准的水产种质资源保护与开发利用活动</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（5）不破坏生态功能的适度参观旅游和相关的必要公共设施建设；</w:t>
            </w:r>
          </w:p>
          <w:p>
            <w:pPr>
              <w:rPr>
                <w:rFonts w:ascii="Times New Roman" w:hAnsi="Times New Roman" w:cs="Times New Roman"/>
              </w:rPr>
            </w:pPr>
            <w:r>
              <w:rPr>
                <w:rFonts w:ascii="Times New Roman" w:hAnsi="Times New Roman" w:cs="Times New Roman"/>
              </w:rPr>
              <w:t>（6）必须且无法避让、符合县级以上国土空间规划、港口规划的线性基础设施建设、防洪防潮和供水设施建设、运行维护与加固整治；</w:t>
            </w:r>
          </w:p>
          <w:p>
            <w:pPr>
              <w:rPr>
                <w:rFonts w:ascii="Times New Roman" w:hAnsi="Times New Roman" w:cs="Times New Roman"/>
              </w:rPr>
            </w:pPr>
            <w:r>
              <w:rPr>
                <w:rFonts w:ascii="Times New Roman" w:hAnsi="Times New Roman" w:cs="Times New Roman"/>
              </w:rPr>
              <w:t>（7）重要生态修复工程。</w:t>
            </w:r>
          </w:p>
          <w:p>
            <w:pPr>
              <w:rPr>
                <w:rFonts w:ascii="Times New Roman" w:hAnsi="Times New Roman" w:cs="Times New Roman"/>
                <w:szCs w:val="21"/>
              </w:rPr>
            </w:pPr>
            <w:r>
              <w:rPr>
                <w:rFonts w:ascii="Times New Roman" w:hAnsi="Times New Roman" w:cs="Times New Roman"/>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HY45070010013</w:t>
            </w:r>
          </w:p>
        </w:tc>
        <w:tc>
          <w:tcPr>
            <w:tcW w:w="1984" w:type="dxa"/>
            <w:shd w:val="clear" w:color="auto" w:fill="auto"/>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钦州市鹿耳环重要滩涂及浅海水域红线区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rPr>
                <w:rFonts w:eastAsiaTheme="minorEastAsia"/>
              </w:rPr>
            </w:pPr>
            <w:r>
              <w:rPr>
                <w:rFonts w:eastAsiaTheme="minorEastAsia"/>
              </w:rPr>
              <w:t>1、</w:t>
            </w:r>
            <w:r>
              <w:t>依据《关于建立以国家公园为主体的自然保护地体系的指导意见》进行管理，</w:t>
            </w:r>
            <w:r>
              <w:rPr>
                <w:rFonts w:eastAsiaTheme="minorEastAsia"/>
              </w:rPr>
              <w:t>生态保护红线内，</w:t>
            </w:r>
            <w:r>
              <w:t>实行自然保护地实行分区管控，原则上核心保护区内禁止人为活动，一般控制区内限制人为活动</w:t>
            </w:r>
            <w:r>
              <w:rPr>
                <w:rFonts w:eastAsiaTheme="minorEastAsia"/>
              </w:rPr>
              <w:t>，在符合现行法律法规前提下，除国家重大战略项目外，仅允许对生态功能不造成破坏的有限人为活动，主要包括：</w:t>
            </w:r>
          </w:p>
          <w:p>
            <w:pPr>
              <w:pStyle w:val="31"/>
              <w:rPr>
                <w:rFonts w:eastAsiaTheme="minorEastAsia"/>
              </w:rPr>
            </w:pPr>
            <w:r>
              <w:rPr>
                <w:rFonts w:hint="eastAsia" w:eastAsiaTheme="minorEastAsia"/>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eastAsiaTheme="minorEastAsia"/>
              </w:rPr>
              <w:t>；</w:t>
            </w:r>
          </w:p>
          <w:p>
            <w:pPr>
              <w:pStyle w:val="31"/>
              <w:rPr>
                <w:rFonts w:eastAsiaTheme="minorEastAsia"/>
              </w:rPr>
            </w:pPr>
            <w:r>
              <w:rPr>
                <w:rFonts w:eastAsiaTheme="minorEastAsia"/>
              </w:rPr>
              <w:t>（2）</w:t>
            </w:r>
            <w:r>
              <w:rPr>
                <w:rFonts w:hint="eastAsia" w:eastAsiaTheme="minorEastAsia"/>
              </w:rPr>
              <w:t>因国家重大能源资源安全需要开展的战略性能源资源勘查，公益性自然资源、海洋与灾害调查和地质勘查</w:t>
            </w:r>
            <w:r>
              <w:rPr>
                <w:rFonts w:eastAsiaTheme="minorEastAsia"/>
              </w:rPr>
              <w:t>；</w:t>
            </w:r>
          </w:p>
          <w:p>
            <w:pPr>
              <w:pStyle w:val="31"/>
              <w:rPr>
                <w:rFonts w:eastAsiaTheme="minorEastAsia"/>
              </w:rPr>
            </w:pPr>
            <w:r>
              <w:rPr>
                <w:rFonts w:eastAsiaTheme="minorEastAsia"/>
              </w:rPr>
              <w:t>（3）</w:t>
            </w:r>
            <w:r>
              <w:rPr>
                <w:rFonts w:hint="eastAsia" w:eastAsiaTheme="minorEastAsia"/>
              </w:rPr>
              <w:t>自然资源、海洋生态环境监测和执法以及海洋气象水文观测及涉海违法事件的查处等，灾害防治和应急抢险活动</w:t>
            </w:r>
            <w:r>
              <w:rPr>
                <w:rFonts w:eastAsiaTheme="minorEastAsia"/>
              </w:rPr>
              <w:t>；</w:t>
            </w:r>
          </w:p>
          <w:p>
            <w:pPr>
              <w:pStyle w:val="31"/>
              <w:rPr>
                <w:rFonts w:eastAsiaTheme="minorEastAsia"/>
              </w:rPr>
            </w:pPr>
            <w:r>
              <w:rPr>
                <w:rFonts w:eastAsiaTheme="minorEastAsia"/>
              </w:rPr>
              <w:t>（4）</w:t>
            </w:r>
            <w:r>
              <w:rPr>
                <w:rFonts w:hint="eastAsia" w:eastAsiaTheme="minorEastAsia"/>
              </w:rPr>
              <w:t>经依法批准进行的非破坏性科学研究观测、标本采集；经依法批准的考古调查发掘和文物保护活动；经依法批准的水产种质资源保护与开发利用活动</w:t>
            </w:r>
            <w:r>
              <w:rPr>
                <w:rFonts w:eastAsiaTheme="minorEastAsia"/>
              </w:rPr>
              <w:t>；</w:t>
            </w:r>
          </w:p>
          <w:p>
            <w:pPr>
              <w:pStyle w:val="31"/>
              <w:rPr>
                <w:rFonts w:eastAsiaTheme="minorEastAsia"/>
              </w:rPr>
            </w:pPr>
            <w:r>
              <w:rPr>
                <w:rFonts w:eastAsiaTheme="minorEastAsia"/>
              </w:rPr>
              <w:t>（5）不破坏生态功能的适度参观旅游和相关的必要公共设施建设；</w:t>
            </w:r>
          </w:p>
          <w:p>
            <w:pPr>
              <w:pStyle w:val="31"/>
              <w:rPr>
                <w:rFonts w:eastAsiaTheme="minorEastAsia"/>
              </w:rPr>
            </w:pPr>
            <w:r>
              <w:rPr>
                <w:rFonts w:eastAsiaTheme="minorEastAsia"/>
              </w:rPr>
              <w:t>（6）必须且无法避让、符合县级以上国土空间规划、港口规划的线性基础设施建设、防洪防潮和供水设施建设、运行维护与加固整治；</w:t>
            </w:r>
          </w:p>
          <w:p>
            <w:pPr>
              <w:pStyle w:val="31"/>
              <w:rPr>
                <w:rFonts w:eastAsiaTheme="minorEastAsia"/>
              </w:rPr>
            </w:pPr>
            <w:r>
              <w:rPr>
                <w:rFonts w:eastAsiaTheme="minorEastAsia"/>
              </w:rPr>
              <w:t>（7）重要生态修复工程。</w:t>
            </w:r>
          </w:p>
          <w:p>
            <w:pPr>
              <w:pStyle w:val="31"/>
            </w:pPr>
            <w:r>
              <w:rPr>
                <w:rFonts w:eastAsiaTheme="minorEastAsia"/>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HY45070010014</w:t>
            </w:r>
          </w:p>
        </w:tc>
        <w:tc>
          <w:tcPr>
            <w:tcW w:w="1984" w:type="dxa"/>
            <w:shd w:val="clear" w:color="auto" w:fill="auto"/>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钦州市茅尾海东岸红树林红线区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rPr>
                <w:rFonts w:ascii="Times New Roman" w:hAnsi="Times New Roman" w:cs="Times New Roman"/>
              </w:rPr>
            </w:pPr>
            <w:r>
              <w:rPr>
                <w:rFonts w:ascii="Times New Roman" w:hAnsi="Times New Roman" w:cs="Times New Roman"/>
              </w:rPr>
              <w:t>1、</w:t>
            </w:r>
            <w:r>
              <w:rPr>
                <w:rFonts w:ascii="Times New Roman" w:hAnsi="Times New Roman" w:eastAsia="宋体" w:cs="Times New Roman"/>
              </w:rPr>
              <w:t>依据《关于建立以国家公园为主体的自然保护地体系的指导意见》</w:t>
            </w:r>
            <w:r>
              <w:rPr>
                <w:rFonts w:ascii="Times New Roman" w:hAnsi="Times New Roman" w:cs="Times New Roman"/>
                <w:szCs w:val="21"/>
              </w:rPr>
              <w:t>《广西壮族自治区红树林资源保护条例》进行管理，</w:t>
            </w:r>
            <w:r>
              <w:rPr>
                <w:rFonts w:ascii="Times New Roman" w:hAnsi="Times New Roman" w:cs="Times New Roman"/>
              </w:rPr>
              <w:t>生态保护红线内，</w:t>
            </w:r>
            <w:r>
              <w:rPr>
                <w:rFonts w:ascii="Times New Roman" w:hAnsi="Times New Roman" w:eastAsia="宋体" w:cs="Times New Roman"/>
              </w:rPr>
              <w:t>实行自然保护地实行分区管控，原则上核心保护区内禁止人为活动，一般控制区内限制人为活动</w:t>
            </w:r>
            <w:r>
              <w:rPr>
                <w:rFonts w:ascii="Times New Roman" w:hAnsi="Times New Roman" w:cs="Times New Roman"/>
              </w:rPr>
              <w:t>，在符合现行法律法规前提下，除国家重大战略项目外，仅允许对生态功能不造成破坏的有限人为活动，主要包括：</w:t>
            </w:r>
          </w:p>
          <w:p>
            <w:pPr>
              <w:rPr>
                <w:rFonts w:ascii="Times New Roman" w:hAnsi="Times New Roman" w:cs="Times New Roman"/>
              </w:rPr>
            </w:pPr>
            <w:r>
              <w:rPr>
                <w:rFonts w:hint="eastAsia" w:ascii="Times New Roman" w:hAnsi="Times New Roman" w:cs="Times New Roman"/>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因国家重大能源资源安全需要开展的战略性能源资源勘查，公益性自然资源、海洋与灾害调查和地质勘查</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自然资源、海洋生态环境监测和执法以及海洋气象水文观测及涉海违法事件的查处等，灾害防治和应急抢险活动</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经依法批准进行的非破坏性科学研究观测、标本采集；经依法批准的考古调查发掘和文物保护活动；经依法批准的水产种质资源保护与开发利用活动</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（5）不破坏生态功能的适度参观旅游和相关的必要公共设施建设；</w:t>
            </w:r>
          </w:p>
          <w:p>
            <w:pPr>
              <w:rPr>
                <w:rFonts w:ascii="Times New Roman" w:hAnsi="Times New Roman" w:cs="Times New Roman"/>
              </w:rPr>
            </w:pPr>
            <w:r>
              <w:rPr>
                <w:rFonts w:ascii="Times New Roman" w:hAnsi="Times New Roman" w:cs="Times New Roman"/>
              </w:rPr>
              <w:t>（6）必须且无法避让、符合县级以上国土空间规划、港口规划的线性基础设施建设、防洪防潮和供水设施建设、运行维护与加固整治；</w:t>
            </w:r>
          </w:p>
          <w:p>
            <w:pPr>
              <w:rPr>
                <w:rFonts w:ascii="Times New Roman" w:hAnsi="Times New Roman" w:cs="Times New Roman"/>
              </w:rPr>
            </w:pPr>
            <w:r>
              <w:rPr>
                <w:rFonts w:ascii="Times New Roman" w:hAnsi="Times New Roman" w:cs="Times New Roman"/>
              </w:rPr>
              <w:t>（7）重要生态修复工程。</w:t>
            </w:r>
          </w:p>
          <w:p>
            <w:pPr>
              <w:rPr>
                <w:rFonts w:ascii="Times New Roman" w:hAnsi="Times New Roman" w:cs="Times New Roman"/>
                <w:szCs w:val="21"/>
              </w:rPr>
            </w:pPr>
            <w:r>
              <w:rPr>
                <w:rFonts w:ascii="Times New Roman" w:hAnsi="Times New Roman" w:cs="Times New Roman"/>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HY45070010015</w:t>
            </w:r>
          </w:p>
        </w:tc>
        <w:tc>
          <w:tcPr>
            <w:tcW w:w="1984" w:type="dxa"/>
            <w:shd w:val="clear" w:color="auto" w:fill="auto"/>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钦州市茅尾海红树林红线区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rPr>
                <w:rFonts w:ascii="Times New Roman" w:hAnsi="Times New Roman" w:cs="Times New Roman"/>
              </w:rPr>
            </w:pPr>
            <w:r>
              <w:rPr>
                <w:rFonts w:ascii="Times New Roman" w:hAnsi="Times New Roman" w:cs="Times New Roman"/>
              </w:rPr>
              <w:t>1、</w:t>
            </w:r>
            <w:r>
              <w:rPr>
                <w:rFonts w:ascii="Times New Roman" w:hAnsi="Times New Roman" w:eastAsia="宋体" w:cs="Times New Roman"/>
              </w:rPr>
              <w:t>依据《关于建立以国家公园为主体的自然保护地体系的指导意见》</w:t>
            </w:r>
            <w:r>
              <w:rPr>
                <w:rFonts w:ascii="Times New Roman" w:hAnsi="Times New Roman" w:cs="Times New Roman"/>
                <w:szCs w:val="21"/>
              </w:rPr>
              <w:t>《广西壮族自治区红树林资源保护条例》进行管理，</w:t>
            </w:r>
            <w:r>
              <w:rPr>
                <w:rFonts w:ascii="Times New Roman" w:hAnsi="Times New Roman" w:cs="Times New Roman"/>
              </w:rPr>
              <w:t>生态保护红线内，</w:t>
            </w:r>
            <w:r>
              <w:rPr>
                <w:rFonts w:ascii="Times New Roman" w:hAnsi="Times New Roman" w:eastAsia="宋体" w:cs="Times New Roman"/>
              </w:rPr>
              <w:t>实行自然保护地实行分区管控，原则上核心保护区内禁止人为活动，一般控制区内限制人为活动</w:t>
            </w:r>
            <w:r>
              <w:rPr>
                <w:rFonts w:ascii="Times New Roman" w:hAnsi="Times New Roman" w:cs="Times New Roman"/>
              </w:rPr>
              <w:t>，在符合现行法律法规前提下，除国家重大战略项目外，仅允许对生态功能不造成破坏的有限人为活动，主要包括：</w:t>
            </w:r>
          </w:p>
          <w:p>
            <w:pPr>
              <w:rPr>
                <w:rFonts w:ascii="Times New Roman" w:hAnsi="Times New Roman" w:cs="Times New Roman"/>
              </w:rPr>
            </w:pPr>
            <w:r>
              <w:rPr>
                <w:rFonts w:hint="eastAsia" w:ascii="Times New Roman" w:hAnsi="Times New Roman" w:cs="Times New Roman"/>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因国家重大能源资源安全需要开展的战略性能源资源勘查，公益性自然资源、海洋与灾害调查和地质勘查</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自然资源、海洋生态环境监测和执法以及海洋气象水文观测及涉海违法事件的查处等，灾害防治和应急抢险活动</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经依法批准进行的非破坏性科学研究观测、标本采集；经依法批准的考古调查发掘和文物保护活动；经依法批准的水产种质资源保护与开发利用活动</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（5）不破坏生态功能的适度参观旅游和相关的必要公共设施建设；</w:t>
            </w:r>
          </w:p>
          <w:p>
            <w:pPr>
              <w:rPr>
                <w:rFonts w:ascii="Times New Roman" w:hAnsi="Times New Roman" w:cs="Times New Roman"/>
              </w:rPr>
            </w:pPr>
            <w:r>
              <w:rPr>
                <w:rFonts w:ascii="Times New Roman" w:hAnsi="Times New Roman" w:cs="Times New Roman"/>
              </w:rPr>
              <w:t>（6）必须且无法避让、符合县级以上国土空间规划、港口规划的线性基础设施建设、防洪防潮和供水设施建设、运行维护与加固整治；</w:t>
            </w:r>
          </w:p>
          <w:p>
            <w:pPr>
              <w:rPr>
                <w:rFonts w:ascii="Times New Roman" w:hAnsi="Times New Roman" w:cs="Times New Roman"/>
              </w:rPr>
            </w:pPr>
            <w:r>
              <w:rPr>
                <w:rFonts w:ascii="Times New Roman" w:hAnsi="Times New Roman" w:cs="Times New Roman"/>
              </w:rPr>
              <w:t>（7）重要生态修复工程。</w:t>
            </w:r>
          </w:p>
          <w:p>
            <w:pPr>
              <w:rPr>
                <w:rFonts w:ascii="Times New Roman" w:hAnsi="Times New Roman" w:cs="Times New Roman"/>
                <w:szCs w:val="21"/>
              </w:rPr>
            </w:pPr>
            <w:r>
              <w:rPr>
                <w:rFonts w:ascii="Times New Roman" w:hAnsi="Times New Roman" w:cs="Times New Roman"/>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HY45070010016</w:t>
            </w:r>
          </w:p>
        </w:tc>
        <w:tc>
          <w:tcPr>
            <w:tcW w:w="1984" w:type="dxa"/>
            <w:shd w:val="clear" w:color="auto" w:fill="auto"/>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钦州市七十二泾红树林红线区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rPr>
                <w:rFonts w:ascii="Times New Roman" w:hAnsi="Times New Roman" w:cs="Times New Roman"/>
              </w:rPr>
            </w:pPr>
            <w:r>
              <w:rPr>
                <w:rFonts w:ascii="Times New Roman" w:hAnsi="Times New Roman" w:cs="Times New Roman"/>
              </w:rPr>
              <w:t>1、</w:t>
            </w:r>
            <w:r>
              <w:rPr>
                <w:rFonts w:ascii="Times New Roman" w:hAnsi="Times New Roman" w:eastAsia="宋体" w:cs="Times New Roman"/>
              </w:rPr>
              <w:t>依据《关于建立以国家公园为主体的自然保护地体系的指导意见》</w:t>
            </w:r>
            <w:r>
              <w:rPr>
                <w:rFonts w:ascii="Times New Roman" w:hAnsi="Times New Roman" w:cs="Times New Roman"/>
                <w:szCs w:val="21"/>
              </w:rPr>
              <w:t>《广西壮族自治区红树林资源保护条例》进行管理，</w:t>
            </w:r>
            <w:r>
              <w:rPr>
                <w:rFonts w:ascii="Times New Roman" w:hAnsi="Times New Roman" w:cs="Times New Roman"/>
              </w:rPr>
              <w:t>生态保护红线内，</w:t>
            </w:r>
            <w:r>
              <w:rPr>
                <w:rFonts w:ascii="Times New Roman" w:hAnsi="Times New Roman" w:eastAsia="宋体" w:cs="Times New Roman"/>
              </w:rPr>
              <w:t>实行自然保护地实行分区管控，原则上核心保护区内禁止人为活动，一般控制区内限制人为活动</w:t>
            </w:r>
            <w:r>
              <w:rPr>
                <w:rFonts w:ascii="Times New Roman" w:hAnsi="Times New Roman" w:cs="Times New Roman"/>
              </w:rPr>
              <w:t>，在符合现行法律法规前提下，除国家重大战略项目外，仅允许对生态功能不造成破坏的有限人为活动，主要包括：</w:t>
            </w:r>
          </w:p>
          <w:p>
            <w:pPr>
              <w:rPr>
                <w:rFonts w:ascii="Times New Roman" w:hAnsi="Times New Roman" w:cs="Times New Roman"/>
              </w:rPr>
            </w:pPr>
            <w:r>
              <w:rPr>
                <w:rFonts w:hint="eastAsia" w:ascii="Times New Roman" w:hAnsi="Times New Roman" w:cs="Times New Roman"/>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因国家重大能源资源安全需要开展的战略性能源资源勘查，公益性自然资源、海洋与灾害调查和地质勘查</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自然资源、海洋生态环境监测和执法以及海洋气象水文观测及涉海违法事件的查处等，灾害防治和应急抢险活动</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经依法批准进行的非破坏性科学研究观测、标本采集；经依法批准的考古调查发掘和文物保护活动；经依法批准的水产种质资源保护与开发利用活动</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（5）不破坏生态功能的适度参观旅游和相关的必要公共设施建设；</w:t>
            </w:r>
          </w:p>
          <w:p>
            <w:pPr>
              <w:rPr>
                <w:rFonts w:ascii="Times New Roman" w:hAnsi="Times New Roman" w:cs="Times New Roman"/>
              </w:rPr>
            </w:pPr>
            <w:r>
              <w:rPr>
                <w:rFonts w:ascii="Times New Roman" w:hAnsi="Times New Roman" w:cs="Times New Roman"/>
              </w:rPr>
              <w:t>（6）必须且无法避让、符合县级以上国土空间规划、港口规划的线性基础设施建设、防洪防潮和供水设施建设、运行维护与加固整治；</w:t>
            </w:r>
          </w:p>
          <w:p>
            <w:pPr>
              <w:rPr>
                <w:rFonts w:ascii="Times New Roman" w:hAnsi="Times New Roman" w:cs="Times New Roman"/>
              </w:rPr>
            </w:pPr>
            <w:r>
              <w:rPr>
                <w:rFonts w:ascii="Times New Roman" w:hAnsi="Times New Roman" w:cs="Times New Roman"/>
              </w:rPr>
              <w:t>（7）重要生态修复工程。</w:t>
            </w:r>
          </w:p>
          <w:p>
            <w:pPr>
              <w:rPr>
                <w:rFonts w:ascii="Times New Roman" w:hAnsi="Times New Roman" w:cs="Times New Roman"/>
                <w:szCs w:val="21"/>
              </w:rPr>
            </w:pPr>
            <w:r>
              <w:rPr>
                <w:rFonts w:ascii="Times New Roman" w:hAnsi="Times New Roman" w:cs="Times New Roman"/>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HY45070010017</w:t>
            </w:r>
          </w:p>
        </w:tc>
        <w:tc>
          <w:tcPr>
            <w:tcW w:w="1984" w:type="dxa"/>
            <w:shd w:val="clear" w:color="auto" w:fill="auto"/>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钦州市三娘湾海岸防护极重要区红线区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rPr>
                <w:rFonts w:eastAsiaTheme="minorEastAsia"/>
              </w:rPr>
            </w:pPr>
            <w:r>
              <w:rPr>
                <w:rFonts w:eastAsiaTheme="minorEastAsia"/>
              </w:rPr>
              <w:t>1、</w:t>
            </w:r>
            <w:r>
              <w:t>依据《关于建立以国家公园为主体的自然保护地体系的指导意见》进行管理，</w:t>
            </w:r>
            <w:r>
              <w:rPr>
                <w:rFonts w:eastAsiaTheme="minorEastAsia"/>
              </w:rPr>
              <w:t>生态保护红线内，</w:t>
            </w:r>
            <w:r>
              <w:t>实行自然保护地实行分区管控，原则上核心保护区内禁止人为活动，一般控制区内限制人为活动</w:t>
            </w:r>
            <w:r>
              <w:rPr>
                <w:rFonts w:eastAsiaTheme="minorEastAsia"/>
              </w:rPr>
              <w:t>，在符合现行法律法规前提下，除国家重大战略项目外，仅允许对生态功能不造成破坏的有限人为活动，主要包括：</w:t>
            </w:r>
          </w:p>
          <w:p>
            <w:pPr>
              <w:pStyle w:val="31"/>
              <w:rPr>
                <w:rFonts w:eastAsiaTheme="minorEastAsia"/>
              </w:rPr>
            </w:pPr>
            <w:r>
              <w:rPr>
                <w:rFonts w:hint="eastAsia" w:eastAsiaTheme="minorEastAsia"/>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eastAsiaTheme="minorEastAsia"/>
              </w:rPr>
              <w:t>；</w:t>
            </w:r>
          </w:p>
          <w:p>
            <w:pPr>
              <w:pStyle w:val="31"/>
              <w:rPr>
                <w:rFonts w:eastAsiaTheme="minorEastAsia"/>
              </w:rPr>
            </w:pPr>
            <w:r>
              <w:rPr>
                <w:rFonts w:eastAsiaTheme="minorEastAsia"/>
              </w:rPr>
              <w:t>（2）</w:t>
            </w:r>
            <w:r>
              <w:rPr>
                <w:rFonts w:hint="eastAsia" w:eastAsiaTheme="minorEastAsia"/>
              </w:rPr>
              <w:t>因国家重大能源资源安全需要开展的战略性能源资源勘查，公益性自然资源、海洋与灾害调查和地质勘查</w:t>
            </w:r>
            <w:r>
              <w:rPr>
                <w:rFonts w:eastAsiaTheme="minorEastAsia"/>
              </w:rPr>
              <w:t>；</w:t>
            </w:r>
          </w:p>
          <w:p>
            <w:pPr>
              <w:pStyle w:val="31"/>
              <w:rPr>
                <w:rFonts w:eastAsiaTheme="minorEastAsia"/>
              </w:rPr>
            </w:pPr>
            <w:r>
              <w:rPr>
                <w:rFonts w:eastAsiaTheme="minorEastAsia"/>
              </w:rPr>
              <w:t>（3）</w:t>
            </w:r>
            <w:r>
              <w:rPr>
                <w:rFonts w:hint="eastAsia" w:eastAsiaTheme="minorEastAsia"/>
              </w:rPr>
              <w:t>自然资源、海洋生态环境监测和执法以及海洋气象水文观测及涉海违法事件的查处等，灾害防治和应急抢险活动</w:t>
            </w:r>
            <w:r>
              <w:rPr>
                <w:rFonts w:eastAsiaTheme="minorEastAsia"/>
              </w:rPr>
              <w:t>；</w:t>
            </w:r>
          </w:p>
          <w:p>
            <w:pPr>
              <w:pStyle w:val="31"/>
              <w:rPr>
                <w:rFonts w:eastAsiaTheme="minorEastAsia"/>
              </w:rPr>
            </w:pPr>
            <w:r>
              <w:rPr>
                <w:rFonts w:eastAsiaTheme="minorEastAsia"/>
              </w:rPr>
              <w:t>（4）</w:t>
            </w:r>
            <w:r>
              <w:rPr>
                <w:rFonts w:hint="eastAsia" w:eastAsiaTheme="minorEastAsia"/>
              </w:rPr>
              <w:t>经依法批准进行的非破坏性科学研究观测、标本采集；经依法批准的考古调查发掘和文物保护活动；经依法批准的水产种质资源保护与开发利用活动</w:t>
            </w:r>
            <w:r>
              <w:rPr>
                <w:rFonts w:eastAsiaTheme="minorEastAsia"/>
              </w:rPr>
              <w:t>；</w:t>
            </w:r>
          </w:p>
          <w:p>
            <w:pPr>
              <w:pStyle w:val="31"/>
              <w:rPr>
                <w:rFonts w:eastAsiaTheme="minorEastAsia"/>
              </w:rPr>
            </w:pPr>
            <w:r>
              <w:rPr>
                <w:rFonts w:eastAsiaTheme="minorEastAsia"/>
              </w:rPr>
              <w:t>（5）不破坏生态功能的适度参观旅游和相关的必要公共设施建设；</w:t>
            </w:r>
          </w:p>
          <w:p>
            <w:pPr>
              <w:pStyle w:val="31"/>
              <w:rPr>
                <w:rFonts w:eastAsiaTheme="minorEastAsia"/>
              </w:rPr>
            </w:pPr>
            <w:r>
              <w:rPr>
                <w:rFonts w:eastAsiaTheme="minorEastAsia"/>
              </w:rPr>
              <w:t>（6）必须且无法避让、符合县级以上国土空间规划、港口规划的线性基础设施建设、防洪防潮和供水设施建设、运行维护与加固整治；</w:t>
            </w:r>
          </w:p>
          <w:p>
            <w:pPr>
              <w:pStyle w:val="31"/>
              <w:rPr>
                <w:rFonts w:eastAsiaTheme="minorEastAsia"/>
              </w:rPr>
            </w:pPr>
            <w:r>
              <w:rPr>
                <w:rFonts w:eastAsiaTheme="minorEastAsia"/>
              </w:rPr>
              <w:t>（7）重要生态修复工程。</w:t>
            </w:r>
          </w:p>
          <w:p>
            <w:pPr>
              <w:pStyle w:val="31"/>
            </w:pPr>
            <w:r>
              <w:rPr>
                <w:rFonts w:eastAsiaTheme="minorEastAsia"/>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HY45070010018</w:t>
            </w:r>
          </w:p>
        </w:tc>
        <w:tc>
          <w:tcPr>
            <w:tcW w:w="1984" w:type="dxa"/>
            <w:shd w:val="clear" w:color="auto" w:fill="auto"/>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钦州市三娘湾红树林红线区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rPr>
                <w:rFonts w:ascii="Times New Roman" w:hAnsi="Times New Roman" w:cs="Times New Roman"/>
              </w:rPr>
            </w:pPr>
            <w:r>
              <w:rPr>
                <w:rFonts w:ascii="Times New Roman" w:hAnsi="Times New Roman" w:cs="Times New Roman"/>
              </w:rPr>
              <w:t>1、</w:t>
            </w:r>
            <w:r>
              <w:rPr>
                <w:rFonts w:ascii="Times New Roman" w:hAnsi="Times New Roman" w:eastAsia="宋体" w:cs="Times New Roman"/>
              </w:rPr>
              <w:t>依据《关于建立以国家公园为主体的自然保护地体系的指导意见》</w:t>
            </w:r>
            <w:r>
              <w:rPr>
                <w:rFonts w:ascii="Times New Roman" w:hAnsi="Times New Roman" w:cs="Times New Roman"/>
                <w:szCs w:val="21"/>
              </w:rPr>
              <w:t>《广西壮族自治区红树林资源保护条例》进行管理，</w:t>
            </w:r>
            <w:r>
              <w:rPr>
                <w:rFonts w:ascii="Times New Roman" w:hAnsi="Times New Roman" w:cs="Times New Roman"/>
              </w:rPr>
              <w:t>生态保护红线内，</w:t>
            </w:r>
            <w:r>
              <w:rPr>
                <w:rFonts w:ascii="Times New Roman" w:hAnsi="Times New Roman" w:eastAsia="宋体" w:cs="Times New Roman"/>
              </w:rPr>
              <w:t>实行自然保护地实行分区管控，原则上核心保护区内禁止人为活动，一般控制区内限制人为活动</w:t>
            </w:r>
            <w:r>
              <w:rPr>
                <w:rFonts w:ascii="Times New Roman" w:hAnsi="Times New Roman" w:cs="Times New Roman"/>
              </w:rPr>
              <w:t>，在符合现行法律法规前提下，除国家重大战略项目外，仅允许对生态功能不造成破坏的有限人为活动，主要包括：</w:t>
            </w:r>
          </w:p>
          <w:p>
            <w:pPr>
              <w:rPr>
                <w:rFonts w:ascii="Times New Roman" w:hAnsi="Times New Roman" w:cs="Times New Roman"/>
              </w:rPr>
            </w:pPr>
            <w:r>
              <w:rPr>
                <w:rFonts w:hint="eastAsia" w:ascii="Times New Roman" w:hAnsi="Times New Roman" w:cs="Times New Roman"/>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因国家重大能源资源安全需要开展的战略性能源资源勘查，公益性自然资源、海洋与灾害调查和地质勘查</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自然资源、海洋生态环境监测和执法以及海洋气象水文观测及涉海违法事件的查处等，灾害防治和应急抢险活动</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经依法批准进行的非破坏性科学研究观测、标本采集；经依法批准的考古调查发掘和文物保护活动；经依法批准的水产种质资源保护与开发利用活动</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（5）不破坏生态功能的适度参观旅游和相关的必要公共设施建设；</w:t>
            </w:r>
          </w:p>
          <w:p>
            <w:pPr>
              <w:rPr>
                <w:rFonts w:ascii="Times New Roman" w:hAnsi="Times New Roman" w:cs="Times New Roman"/>
              </w:rPr>
            </w:pPr>
            <w:r>
              <w:rPr>
                <w:rFonts w:ascii="Times New Roman" w:hAnsi="Times New Roman" w:cs="Times New Roman"/>
              </w:rPr>
              <w:t>（6）必须且无法避让、符合县级以上国土空间规划、港口规划的线性基础设施建设、防洪防潮和供水设施建设、运行维护与加固整治；</w:t>
            </w:r>
          </w:p>
          <w:p>
            <w:pPr>
              <w:rPr>
                <w:rFonts w:ascii="Times New Roman" w:hAnsi="Times New Roman" w:cs="Times New Roman"/>
              </w:rPr>
            </w:pPr>
            <w:r>
              <w:rPr>
                <w:rFonts w:ascii="Times New Roman" w:hAnsi="Times New Roman" w:cs="Times New Roman"/>
              </w:rPr>
              <w:t>（7）重要生态修复工程。</w:t>
            </w:r>
          </w:p>
          <w:p>
            <w:pPr>
              <w:rPr>
                <w:rFonts w:ascii="Times New Roman" w:hAnsi="Times New Roman" w:cs="Times New Roman"/>
                <w:szCs w:val="21"/>
              </w:rPr>
            </w:pPr>
            <w:r>
              <w:rPr>
                <w:rFonts w:ascii="Times New Roman" w:hAnsi="Times New Roman" w:cs="Times New Roman"/>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HY45070010019</w:t>
            </w:r>
          </w:p>
        </w:tc>
        <w:tc>
          <w:tcPr>
            <w:tcW w:w="1984" w:type="dxa"/>
            <w:shd w:val="clear" w:color="auto" w:fill="auto"/>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钦州市三娘湾重要滩涂及浅海水域红线区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rPr>
                <w:rFonts w:eastAsiaTheme="minorEastAsia"/>
              </w:rPr>
            </w:pPr>
            <w:r>
              <w:rPr>
                <w:rFonts w:eastAsiaTheme="minorEastAsia"/>
              </w:rPr>
              <w:t>1、</w:t>
            </w:r>
            <w:r>
              <w:t>依据《关于建立以国家公园为主体的自然保护地体系的指导意见》进行管理，</w:t>
            </w:r>
            <w:r>
              <w:rPr>
                <w:rFonts w:eastAsiaTheme="minorEastAsia"/>
              </w:rPr>
              <w:t>生态保护红线内，</w:t>
            </w:r>
            <w:r>
              <w:t>实行自然保护地实行分区管控，原则上核心保护区内禁止人为活动，一般控制区内限制人为活动</w:t>
            </w:r>
            <w:r>
              <w:rPr>
                <w:rFonts w:eastAsiaTheme="minorEastAsia"/>
              </w:rPr>
              <w:t>，在符合现行法律法规前提下，除国家重大战略项目外，仅允许对生态功能不造成破坏的有限人为活动，主要包括：</w:t>
            </w:r>
          </w:p>
          <w:p>
            <w:pPr>
              <w:pStyle w:val="31"/>
              <w:rPr>
                <w:rFonts w:eastAsiaTheme="minorEastAsia"/>
              </w:rPr>
            </w:pPr>
            <w:r>
              <w:rPr>
                <w:rFonts w:hint="eastAsia" w:eastAsiaTheme="minorEastAsia"/>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eastAsiaTheme="minorEastAsia"/>
              </w:rPr>
              <w:t>；</w:t>
            </w:r>
          </w:p>
          <w:p>
            <w:pPr>
              <w:pStyle w:val="31"/>
              <w:rPr>
                <w:rFonts w:eastAsiaTheme="minorEastAsia"/>
              </w:rPr>
            </w:pPr>
            <w:r>
              <w:rPr>
                <w:rFonts w:eastAsiaTheme="minorEastAsia"/>
              </w:rPr>
              <w:t>（2）</w:t>
            </w:r>
            <w:r>
              <w:rPr>
                <w:rFonts w:hint="eastAsia" w:eastAsiaTheme="minorEastAsia"/>
              </w:rPr>
              <w:t>因国家重大能源资源安全需要开展的战略性能源资源勘查，公益性自然资源、海洋与灾害调查和地质勘查</w:t>
            </w:r>
            <w:r>
              <w:rPr>
                <w:rFonts w:eastAsiaTheme="minorEastAsia"/>
              </w:rPr>
              <w:t>；</w:t>
            </w:r>
          </w:p>
          <w:p>
            <w:pPr>
              <w:pStyle w:val="31"/>
              <w:rPr>
                <w:rFonts w:eastAsiaTheme="minorEastAsia"/>
              </w:rPr>
            </w:pPr>
            <w:r>
              <w:rPr>
                <w:rFonts w:eastAsiaTheme="minorEastAsia"/>
              </w:rPr>
              <w:t>（3）</w:t>
            </w:r>
            <w:r>
              <w:rPr>
                <w:rFonts w:hint="eastAsia" w:eastAsiaTheme="minorEastAsia"/>
              </w:rPr>
              <w:t>自然资源、海洋生态环境监测和执法以及海洋气象水文观测及涉海违法事件的查处等，灾害防治和应急抢险活动</w:t>
            </w:r>
            <w:r>
              <w:rPr>
                <w:rFonts w:eastAsiaTheme="minorEastAsia"/>
              </w:rPr>
              <w:t>；</w:t>
            </w:r>
          </w:p>
          <w:p>
            <w:pPr>
              <w:pStyle w:val="31"/>
              <w:rPr>
                <w:rFonts w:eastAsiaTheme="minorEastAsia"/>
              </w:rPr>
            </w:pPr>
            <w:r>
              <w:rPr>
                <w:rFonts w:eastAsiaTheme="minorEastAsia"/>
              </w:rPr>
              <w:t>（4）</w:t>
            </w:r>
            <w:r>
              <w:rPr>
                <w:rFonts w:hint="eastAsia" w:eastAsiaTheme="minorEastAsia"/>
              </w:rPr>
              <w:t>经依法批准进行的非破坏性科学研究观测、标本采集；经依法批准的考古调查发掘和文物保护活动；经依法批准的水产种质资源保护与开发利用活动</w:t>
            </w:r>
            <w:r>
              <w:rPr>
                <w:rFonts w:eastAsiaTheme="minorEastAsia"/>
              </w:rPr>
              <w:t>；</w:t>
            </w:r>
          </w:p>
          <w:p>
            <w:pPr>
              <w:pStyle w:val="31"/>
              <w:rPr>
                <w:rFonts w:eastAsiaTheme="minorEastAsia"/>
              </w:rPr>
            </w:pPr>
            <w:r>
              <w:rPr>
                <w:rFonts w:eastAsiaTheme="minorEastAsia"/>
              </w:rPr>
              <w:t>（5）不破坏生态功能的适度参观旅游和相关的必要公共设施建设；</w:t>
            </w:r>
          </w:p>
          <w:p>
            <w:pPr>
              <w:pStyle w:val="31"/>
              <w:rPr>
                <w:rFonts w:eastAsiaTheme="minorEastAsia"/>
              </w:rPr>
            </w:pPr>
            <w:r>
              <w:rPr>
                <w:rFonts w:eastAsiaTheme="minorEastAsia"/>
              </w:rPr>
              <w:t>（6）必须且无法避让、符合县级以上国土空间规划、港口规划的线性基础设施建设、防洪防潮和供水设施建设、运行维护与加固整治；</w:t>
            </w:r>
          </w:p>
          <w:p>
            <w:pPr>
              <w:pStyle w:val="31"/>
              <w:rPr>
                <w:rFonts w:eastAsiaTheme="minorEastAsia"/>
              </w:rPr>
            </w:pPr>
            <w:r>
              <w:rPr>
                <w:rFonts w:eastAsiaTheme="minorEastAsia"/>
              </w:rPr>
              <w:t>（7）重要生态修复工程。</w:t>
            </w:r>
          </w:p>
          <w:p>
            <w:pPr>
              <w:pStyle w:val="31"/>
            </w:pPr>
            <w:r>
              <w:rPr>
                <w:rFonts w:eastAsiaTheme="minorEastAsia"/>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HY45070010020</w:t>
            </w:r>
          </w:p>
        </w:tc>
        <w:tc>
          <w:tcPr>
            <w:tcW w:w="1984" w:type="dxa"/>
            <w:shd w:val="clear" w:color="auto" w:fill="auto"/>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钦州市乌雷海岸防护物理防护极重要红线区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rPr>
                <w:rFonts w:eastAsiaTheme="minorEastAsia"/>
              </w:rPr>
            </w:pPr>
            <w:r>
              <w:rPr>
                <w:rFonts w:eastAsiaTheme="minorEastAsia"/>
              </w:rPr>
              <w:t>1、</w:t>
            </w:r>
            <w:r>
              <w:t>依据《关于建立以国家公园为主体的自然保护地体系的指导意见》进行管理，</w:t>
            </w:r>
            <w:r>
              <w:rPr>
                <w:rFonts w:eastAsiaTheme="minorEastAsia"/>
              </w:rPr>
              <w:t>生态保护红线内，</w:t>
            </w:r>
            <w:r>
              <w:t>实行自然保护地实行分区管控，原则上核心保护区内禁止人为活动，一般控制区内限制人为活动</w:t>
            </w:r>
            <w:r>
              <w:rPr>
                <w:rFonts w:eastAsiaTheme="minorEastAsia"/>
              </w:rPr>
              <w:t>，在符合现行法律法规前提下，除国家重大战略项目外，仅允许对生态功能不造成破坏的有限人为活动，主要包括：</w:t>
            </w:r>
          </w:p>
          <w:p>
            <w:pPr>
              <w:pStyle w:val="31"/>
              <w:rPr>
                <w:rFonts w:eastAsiaTheme="minorEastAsia"/>
              </w:rPr>
            </w:pPr>
            <w:r>
              <w:rPr>
                <w:rFonts w:hint="eastAsia" w:eastAsiaTheme="minorEastAsia"/>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eastAsiaTheme="minorEastAsia"/>
              </w:rPr>
              <w:t>；</w:t>
            </w:r>
          </w:p>
          <w:p>
            <w:pPr>
              <w:pStyle w:val="31"/>
              <w:rPr>
                <w:rFonts w:eastAsiaTheme="minorEastAsia"/>
              </w:rPr>
            </w:pPr>
            <w:r>
              <w:rPr>
                <w:rFonts w:eastAsiaTheme="minorEastAsia"/>
              </w:rPr>
              <w:t>（2）</w:t>
            </w:r>
            <w:r>
              <w:rPr>
                <w:rFonts w:hint="eastAsia" w:eastAsiaTheme="minorEastAsia"/>
              </w:rPr>
              <w:t>因国家重大能源资源安全需要开展的战略性能源资源勘查，公益性自然资源、海洋与灾害调查和地质勘查</w:t>
            </w:r>
            <w:r>
              <w:rPr>
                <w:rFonts w:eastAsiaTheme="minorEastAsia"/>
              </w:rPr>
              <w:t>；</w:t>
            </w:r>
          </w:p>
          <w:p>
            <w:pPr>
              <w:pStyle w:val="31"/>
              <w:rPr>
                <w:rFonts w:eastAsiaTheme="minorEastAsia"/>
              </w:rPr>
            </w:pPr>
            <w:r>
              <w:rPr>
                <w:rFonts w:eastAsiaTheme="minorEastAsia"/>
              </w:rPr>
              <w:t>（3）</w:t>
            </w:r>
            <w:r>
              <w:rPr>
                <w:rFonts w:hint="eastAsia" w:eastAsiaTheme="minorEastAsia"/>
              </w:rPr>
              <w:t>自然资源、海洋生态环境监测和执法以及海洋气象水文观测及涉海违法事件的查处等，灾害防治和应急抢险活动</w:t>
            </w:r>
            <w:r>
              <w:rPr>
                <w:rFonts w:eastAsiaTheme="minorEastAsia"/>
              </w:rPr>
              <w:t>；</w:t>
            </w:r>
          </w:p>
          <w:p>
            <w:pPr>
              <w:pStyle w:val="31"/>
              <w:rPr>
                <w:rFonts w:eastAsiaTheme="minorEastAsia"/>
              </w:rPr>
            </w:pPr>
            <w:r>
              <w:rPr>
                <w:rFonts w:eastAsiaTheme="minorEastAsia"/>
              </w:rPr>
              <w:t>（4）</w:t>
            </w:r>
            <w:r>
              <w:rPr>
                <w:rFonts w:hint="eastAsia" w:eastAsiaTheme="minorEastAsia"/>
              </w:rPr>
              <w:t>经依法批准进行的非破坏性科学研究观测、标本采集；经依法批准的考古调查发掘和文物保护活动；经依法批准的水产种质资源保护与开发利用活动</w:t>
            </w:r>
            <w:r>
              <w:rPr>
                <w:rFonts w:eastAsiaTheme="minorEastAsia"/>
              </w:rPr>
              <w:t>；</w:t>
            </w:r>
          </w:p>
          <w:p>
            <w:pPr>
              <w:pStyle w:val="31"/>
              <w:rPr>
                <w:rFonts w:eastAsiaTheme="minorEastAsia"/>
              </w:rPr>
            </w:pPr>
            <w:r>
              <w:rPr>
                <w:rFonts w:eastAsiaTheme="minorEastAsia"/>
              </w:rPr>
              <w:t>（5）不破坏生态功能的适度参观旅游和相关的必要公共设施建设；</w:t>
            </w:r>
          </w:p>
          <w:p>
            <w:pPr>
              <w:pStyle w:val="31"/>
              <w:rPr>
                <w:rFonts w:eastAsiaTheme="minorEastAsia"/>
              </w:rPr>
            </w:pPr>
            <w:r>
              <w:rPr>
                <w:rFonts w:eastAsiaTheme="minorEastAsia"/>
              </w:rPr>
              <w:t>（6）必须且无法避让、符合县级以上国土空间规划、港口规划的线性基础设施建设、防洪防潮和供水设施建设、运行维护与加固整治；</w:t>
            </w:r>
          </w:p>
          <w:p>
            <w:pPr>
              <w:pStyle w:val="31"/>
              <w:rPr>
                <w:rFonts w:eastAsiaTheme="minorEastAsia"/>
              </w:rPr>
            </w:pPr>
            <w:r>
              <w:rPr>
                <w:rFonts w:eastAsiaTheme="minorEastAsia"/>
              </w:rPr>
              <w:t>（7）重要生态修复工程。</w:t>
            </w:r>
          </w:p>
          <w:p>
            <w:pPr>
              <w:pStyle w:val="31"/>
            </w:pPr>
            <w:r>
              <w:rPr>
                <w:rFonts w:eastAsiaTheme="minorEastAsia"/>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HY45070010021</w:t>
            </w:r>
          </w:p>
        </w:tc>
        <w:tc>
          <w:tcPr>
            <w:tcW w:w="1984" w:type="dxa"/>
            <w:shd w:val="clear" w:color="auto" w:fill="auto"/>
            <w:vAlign w:val="center"/>
          </w:tcPr>
          <w:p>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钦州市月亮湾海岸防护极重要区</w:t>
            </w:r>
          </w:p>
        </w:tc>
        <w:tc>
          <w:tcPr>
            <w:tcW w:w="1531" w:type="dxa"/>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优先保护单元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rPr>
                <w:rFonts w:eastAsiaTheme="minorEastAsia"/>
              </w:rPr>
            </w:pPr>
            <w:r>
              <w:rPr>
                <w:rFonts w:eastAsiaTheme="minorEastAsia"/>
              </w:rPr>
              <w:t>1、</w:t>
            </w:r>
            <w:r>
              <w:t>依据《关于建立以国家公园为主体的自然保护地体系的指导意见》进行管理，</w:t>
            </w:r>
            <w:r>
              <w:rPr>
                <w:rFonts w:eastAsiaTheme="minorEastAsia"/>
              </w:rPr>
              <w:t>生态保护红线内，</w:t>
            </w:r>
            <w:r>
              <w:t>实行自然保护地实行分区管控，原则上核心保护区内禁止人为活动，一般控制区内限制人为活动</w:t>
            </w:r>
            <w:r>
              <w:rPr>
                <w:rFonts w:eastAsiaTheme="minorEastAsia"/>
              </w:rPr>
              <w:t>，在符合现行法律法规前提下，除国家重大战略项目外，仅允许对生态功能不造成破坏的有限人为活动，主要包括：</w:t>
            </w:r>
          </w:p>
          <w:p>
            <w:pPr>
              <w:pStyle w:val="31"/>
              <w:rPr>
                <w:rFonts w:eastAsiaTheme="minorEastAsia"/>
              </w:rPr>
            </w:pPr>
            <w:r>
              <w:rPr>
                <w:rFonts w:hint="eastAsia" w:eastAsiaTheme="minorEastAsia"/>
              </w:rPr>
              <w:t>（1）按照标准科学评估自然资源资产价值和资源利用的生态风险，明确自然保护地内自然资源利用方式，规范利用行为，全面实行自然资源有偿使用制度。在保护的前提下，在自然保护地控制区内划定适当区域开展生态教育、自然体验、生态旅游等活动，构建高品质、多样化的生态产品体系。控制养殖规模，鼓励生态化养殖；支持建立近江牡蛎（钦州大蚝）采集苗种生产区，养殖设施面积不超过海区宜养面积的30%</w:t>
            </w:r>
            <w:r>
              <w:rPr>
                <w:rFonts w:eastAsiaTheme="minorEastAsia"/>
              </w:rPr>
              <w:t>；</w:t>
            </w:r>
          </w:p>
          <w:p>
            <w:pPr>
              <w:pStyle w:val="31"/>
              <w:rPr>
                <w:rFonts w:eastAsiaTheme="minorEastAsia"/>
              </w:rPr>
            </w:pPr>
            <w:r>
              <w:rPr>
                <w:rFonts w:eastAsiaTheme="minorEastAsia"/>
              </w:rPr>
              <w:t>（2）</w:t>
            </w:r>
            <w:r>
              <w:rPr>
                <w:rFonts w:hint="eastAsia" w:eastAsiaTheme="minorEastAsia"/>
              </w:rPr>
              <w:t>因国家重大能源资源安全需要开展的战略性能源资源勘查，公益性自然资源、海洋与灾害调查和地质勘查</w:t>
            </w:r>
            <w:r>
              <w:rPr>
                <w:rFonts w:eastAsiaTheme="minorEastAsia"/>
              </w:rPr>
              <w:t>；</w:t>
            </w:r>
          </w:p>
          <w:p>
            <w:pPr>
              <w:pStyle w:val="31"/>
              <w:rPr>
                <w:rFonts w:eastAsiaTheme="minorEastAsia"/>
              </w:rPr>
            </w:pPr>
            <w:r>
              <w:rPr>
                <w:rFonts w:eastAsiaTheme="minorEastAsia"/>
              </w:rPr>
              <w:t>（3）</w:t>
            </w:r>
            <w:r>
              <w:rPr>
                <w:rFonts w:hint="eastAsia" w:eastAsiaTheme="minorEastAsia"/>
              </w:rPr>
              <w:t>自然资源、海洋生态环境监测和执法以及海洋气象水文观测及涉海违法事件的查处等，灾害防治和应急抢险活动</w:t>
            </w:r>
            <w:r>
              <w:rPr>
                <w:rFonts w:eastAsiaTheme="minorEastAsia"/>
              </w:rPr>
              <w:t>；</w:t>
            </w:r>
          </w:p>
          <w:p>
            <w:pPr>
              <w:pStyle w:val="31"/>
              <w:rPr>
                <w:rFonts w:eastAsiaTheme="minorEastAsia"/>
              </w:rPr>
            </w:pPr>
            <w:r>
              <w:rPr>
                <w:rFonts w:eastAsiaTheme="minorEastAsia"/>
              </w:rPr>
              <w:t>（4）</w:t>
            </w:r>
            <w:r>
              <w:rPr>
                <w:rFonts w:hint="eastAsia" w:eastAsiaTheme="minorEastAsia"/>
              </w:rPr>
              <w:t>经依法批准进行的非破坏性科学研究观测、标本采集；经依法批准的考古调查发掘和文物保护活动；经依法批准的水产种质资源保护与开发利用活动</w:t>
            </w:r>
            <w:r>
              <w:rPr>
                <w:rFonts w:eastAsiaTheme="minorEastAsia"/>
              </w:rPr>
              <w:t>；</w:t>
            </w:r>
          </w:p>
          <w:p>
            <w:pPr>
              <w:pStyle w:val="31"/>
              <w:rPr>
                <w:rFonts w:eastAsiaTheme="minorEastAsia"/>
              </w:rPr>
            </w:pPr>
            <w:r>
              <w:rPr>
                <w:rFonts w:eastAsiaTheme="minorEastAsia"/>
              </w:rPr>
              <w:t>（5）不破坏生态功能的适度参观旅游和相关的必要公共设施建设；</w:t>
            </w:r>
          </w:p>
          <w:p>
            <w:pPr>
              <w:pStyle w:val="31"/>
              <w:rPr>
                <w:rFonts w:eastAsiaTheme="minorEastAsia"/>
              </w:rPr>
            </w:pPr>
            <w:r>
              <w:rPr>
                <w:rFonts w:eastAsiaTheme="minorEastAsia"/>
              </w:rPr>
              <w:t>（6）必须且无法避让、符合县级以上国土空间规划、港口规划的线性基础设施建设、防洪防潮和供水设施建设、运行维护与加固整治；</w:t>
            </w:r>
          </w:p>
          <w:p>
            <w:pPr>
              <w:pStyle w:val="31"/>
              <w:rPr>
                <w:rFonts w:eastAsiaTheme="minorEastAsia"/>
              </w:rPr>
            </w:pPr>
            <w:r>
              <w:rPr>
                <w:rFonts w:eastAsiaTheme="minorEastAsia"/>
              </w:rPr>
              <w:t>（7）重要生态修复工程。</w:t>
            </w:r>
          </w:p>
          <w:p>
            <w:pPr>
              <w:pStyle w:val="31"/>
            </w:pPr>
            <w:r>
              <w:rPr>
                <w:rFonts w:eastAsiaTheme="minorEastAsia"/>
              </w:rPr>
              <w:t>2、生态保护红线管理办法和国土空间规划公布实施后，从其规定。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HY45070020001</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大风江口西岸保留区（大风江口西岸海洋预留区）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numPr>
                <w:ilvl w:val="0"/>
                <w:numId w:val="7"/>
              </w:numPr>
              <w:adjustRightInd w:val="0"/>
              <w:snapToGrid w:val="0"/>
              <w:rPr>
                <w:rFonts w:ascii="Times New Roman" w:hAnsi="Times New Roman" w:cs="Times New Roman"/>
                <w:szCs w:val="21"/>
              </w:rPr>
            </w:pPr>
            <w:r>
              <w:rPr>
                <w:rFonts w:ascii="Times New Roman" w:hAnsi="Times New Roman" w:cs="Times New Roman"/>
                <w:szCs w:val="21"/>
              </w:rPr>
              <w:t>严格论证海域最适合功能；在其他功能开发以前，养殖活动等应予以保留。保护深水岸线及口门地形地貌稳定。</w:t>
            </w:r>
          </w:p>
          <w:p>
            <w:pPr>
              <w:numPr>
                <w:ilvl w:val="0"/>
                <w:numId w:val="7"/>
              </w:numPr>
              <w:adjustRightInd w:val="0"/>
              <w:snapToGrid w:val="0"/>
              <w:rPr>
                <w:rFonts w:ascii="Times New Roman" w:hAnsi="Times New Roman" w:cs="Times New Roman"/>
                <w:szCs w:val="21"/>
              </w:rPr>
            </w:pPr>
            <w:r>
              <w:rPr>
                <w:rFonts w:ascii="Times New Roman" w:hAnsi="Times New Roman" w:cs="Times New Roman"/>
              </w:rPr>
              <w:t>严控新增围填海造地，完善围填海总量管控；除国家重大战略项目外，全面停止新增围填海项目审批。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pStyle w:val="31"/>
            </w:pPr>
            <w:r>
              <w:rPr>
                <w:rFonts w:eastAsiaTheme="minorEastAsia"/>
              </w:rPr>
              <w:t>污染物排放管控</w:t>
            </w:r>
          </w:p>
        </w:tc>
        <w:tc>
          <w:tcPr>
            <w:tcW w:w="8939" w:type="dxa"/>
            <w:shd w:val="clear" w:color="auto" w:fill="auto"/>
            <w:vAlign w:val="center"/>
          </w:tcPr>
          <w:p>
            <w:pPr>
              <w:pStyle w:val="31"/>
              <w:rPr>
                <w:rFonts w:eastAsiaTheme="minorEastAsia"/>
              </w:rPr>
            </w:pPr>
            <w:r>
              <w:rPr>
                <w:rFonts w:eastAsiaTheme="minorEastAsia"/>
              </w:rPr>
              <w:t>1、船舶排放含油污水、生活污水，应当符合船舶污染物排放标准。从事海洋航运的船舶进入内河和港口的，应当遵守内河的船舶污染物排放标准。船舶的残油、废油应当回收，禁止排入水体。禁止向水体倾倒船舶垃圾。航行于广西水域的国际航线船舶，实施压载水交换、安装压载水灭活处理系统或者采取其他等效措施，对压载水进行灭活等处理。禁止排放不符合规定的船舶压载水。</w:t>
            </w:r>
          </w:p>
          <w:p>
            <w:pPr>
              <w:pStyle w:val="31"/>
            </w:pPr>
            <w:r>
              <w:rPr>
                <w:rFonts w:eastAsiaTheme="minorEastAsia"/>
              </w:rPr>
              <w:t>2、大风江口超标海域整治：加强大风江禁养区内畜禽养殖场的清理整治，加大巡查监管力度，防止反弹复养。推进大风江流域排污口截流、“散乱污”企业清理、大风江流域视频监控系统建设等工作。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pStyle w:val="31"/>
            </w:pPr>
            <w:r>
              <w:rPr>
                <w:rFonts w:eastAsiaTheme="minorEastAsia"/>
              </w:rPr>
              <w:t>环境风险防控</w:t>
            </w:r>
          </w:p>
        </w:tc>
        <w:tc>
          <w:tcPr>
            <w:tcW w:w="8939" w:type="dxa"/>
            <w:shd w:val="clear" w:color="auto" w:fill="auto"/>
            <w:vAlign w:val="center"/>
          </w:tcPr>
          <w:p>
            <w:pPr>
              <w:pStyle w:val="31"/>
              <w:rPr>
                <w:rFonts w:eastAsiaTheme="minorEastAsia"/>
              </w:rPr>
            </w:pPr>
            <w:r>
              <w:rPr>
                <w:rFonts w:eastAsiaTheme="minorEastAsia"/>
              </w:rPr>
              <w:t>1、全面落实河长制、湾长制，加强入海排污口监管，建立长效管理机制，建立资源环境承载能力监测预警机制。</w:t>
            </w:r>
          </w:p>
          <w:p>
            <w:pPr>
              <w:pStyle w:val="31"/>
              <w:rPr>
                <w:rFonts w:eastAsiaTheme="minorEastAsia"/>
              </w:rPr>
            </w:pPr>
            <w:r>
              <w:rPr>
                <w:rFonts w:eastAsiaTheme="minorEastAsia"/>
              </w:rPr>
              <w:t>2、加强海洋赤潮灾害监测、预警、应急处置能力的建设。</w:t>
            </w:r>
          </w:p>
          <w:p>
            <w:pPr>
              <w:pStyle w:val="31"/>
            </w:pPr>
            <w:r>
              <w:rPr>
                <w:rFonts w:eastAsiaTheme="minorEastAsia"/>
              </w:rPr>
              <w:t>3、</w:t>
            </w:r>
            <w:r>
              <w:t>开展环境风险评估，加大船舶航行安全保障和港区风险防范力度。</w:t>
            </w:r>
            <w:r>
              <w:rPr>
                <w:rFonts w:eastAsiaTheme="minorEastAsia"/>
              </w:rPr>
              <w:t>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pStyle w:val="31"/>
            </w:pPr>
            <w:r>
              <w:rPr>
                <w:rFonts w:eastAsiaTheme="minorEastAsia"/>
              </w:rPr>
              <w:t>资源开发利用效率要求</w:t>
            </w:r>
          </w:p>
        </w:tc>
        <w:tc>
          <w:tcPr>
            <w:tcW w:w="8939" w:type="dxa"/>
            <w:shd w:val="clear" w:color="auto" w:fill="auto"/>
            <w:vAlign w:val="center"/>
          </w:tcPr>
          <w:p>
            <w:pPr>
              <w:pStyle w:val="31"/>
            </w:pPr>
            <w:r>
              <w:rPr>
                <w:rFonts w:eastAsiaTheme="minorEastAsia"/>
              </w:rPr>
              <w:t>保留海域后备空间资源，区域优先支持海洋可再生能源开发、科学研究、公益性项目及其他实验性用海活动。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HY45070020002</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大榄坪港区（大榄坪交通运输用海区）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加强水生生物重要生境以及自然岸线、红树林、湿地等保护。新建港口码头应避让且尽量远离生态保护红线、法定保护区、鱼类“三场一通道”等环境保护目标，降低规划实施对敏感目标的影响；现有港口码头应根据其与敏感目标的位置关系，提出搬迁、退出或强化环境保护措施的要求，避免加剧不利环境影响。</w:t>
            </w:r>
          </w:p>
          <w:p>
            <w:pPr>
              <w:adjustRightInd w:val="0"/>
              <w:snapToGrid w:val="0"/>
              <w:rPr>
                <w:rFonts w:ascii="Times New Roman" w:hAnsi="Times New Roman" w:cs="Times New Roman"/>
                <w:szCs w:val="21"/>
              </w:rPr>
            </w:pPr>
            <w:r>
              <w:rPr>
                <w:rFonts w:ascii="Times New Roman" w:hAnsi="Times New Roman" w:cs="Times New Roman"/>
                <w:szCs w:val="21"/>
              </w:rPr>
              <w:t>2、干散货码头需与居民集中区保持一定距离，确保不对居民造成大气环境不利影响；危险品码头需远离各类生态环境敏感目标。</w:t>
            </w:r>
          </w:p>
          <w:p>
            <w:pPr>
              <w:adjustRightInd w:val="0"/>
              <w:snapToGrid w:val="0"/>
              <w:rPr>
                <w:rFonts w:ascii="Times New Roman" w:hAnsi="Times New Roman" w:cs="Times New Roman"/>
                <w:szCs w:val="21"/>
              </w:rPr>
            </w:pPr>
            <w:r>
              <w:rPr>
                <w:rFonts w:ascii="Times New Roman" w:hAnsi="Times New Roman" w:cs="Times New Roman"/>
                <w:szCs w:val="21"/>
              </w:rPr>
              <w:t>3、不得突破港口总体规划划定的岸线范围。</w:t>
            </w:r>
          </w:p>
          <w:p>
            <w:pPr>
              <w:adjustRightInd w:val="0"/>
              <w:snapToGrid w:val="0"/>
              <w:rPr>
                <w:rFonts w:ascii="Times New Roman" w:hAnsi="Times New Roman" w:cs="Times New Roman"/>
                <w:szCs w:val="21"/>
              </w:rPr>
            </w:pPr>
            <w:r>
              <w:rPr>
                <w:rFonts w:ascii="Times New Roman" w:hAnsi="Times New Roman" w:cs="Times New Roman"/>
                <w:szCs w:val="21"/>
              </w:rPr>
              <w:t>4、建立渔业资源损失补偿机制，开展增殖放流、人工鱼礁等生态修复工作。</w:t>
            </w:r>
          </w:p>
          <w:p>
            <w:pPr>
              <w:snapToGrid w:val="0"/>
              <w:rPr>
                <w:rFonts w:ascii="Times New Roman" w:hAnsi="Times New Roman" w:cs="Times New Roman"/>
                <w:szCs w:val="21"/>
              </w:rPr>
            </w:pPr>
            <w:r>
              <w:rPr>
                <w:rFonts w:ascii="Times New Roman" w:hAnsi="Times New Roman" w:cs="Times New Roman"/>
                <w:szCs w:val="21"/>
              </w:rPr>
              <w:t>5、严格控制建设不符合《广西北部湾港总体规划修编》、《钦州港总体规划（2035年）》的港口码头项目。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1、船舶排放含油污水、生活污水等，应当符合船舶污染物排放标准。禁止向水体倾倒船舶垃圾。禁止排放不符合规定的船舶压载水。</w:t>
            </w:r>
          </w:p>
          <w:p>
            <w:pPr>
              <w:adjustRightInd w:val="0"/>
              <w:snapToGrid w:val="0"/>
              <w:rPr>
                <w:rFonts w:ascii="Times New Roman" w:hAnsi="Times New Roman" w:cs="Times New Roman"/>
                <w:szCs w:val="21"/>
              </w:rPr>
            </w:pPr>
            <w:r>
              <w:rPr>
                <w:rFonts w:ascii="Times New Roman" w:hAnsi="Times New Roman" w:cs="Times New Roman"/>
                <w:szCs w:val="21"/>
              </w:rPr>
              <w:t>2、统筹规划建设船舶污染物、废弃物的接收、转运及处理处置设施。从事船舶污染物、废弃物接收作业，或者从事装载油类、污染危害性货物船舱清洗作业的单位，应当具备与其运营规模相适应的接收处理能力。</w:t>
            </w:r>
          </w:p>
          <w:p>
            <w:pPr>
              <w:adjustRightInd w:val="0"/>
              <w:snapToGrid w:val="0"/>
              <w:rPr>
                <w:rFonts w:ascii="Times New Roman" w:hAnsi="Times New Roman" w:cs="Times New Roman"/>
                <w:szCs w:val="21"/>
              </w:rPr>
            </w:pPr>
            <w:r>
              <w:rPr>
                <w:rFonts w:ascii="Times New Roman" w:hAnsi="Times New Roman" w:cs="Times New Roman"/>
                <w:szCs w:val="21"/>
              </w:rPr>
              <w:t>3、实行雨污分流和污水分质处理，完善港区污水集中处理设施和配套管网建设，实现污水集中处理、回用或达标排放。</w:t>
            </w:r>
          </w:p>
          <w:p>
            <w:pPr>
              <w:adjustRightInd w:val="0"/>
              <w:snapToGrid w:val="0"/>
              <w:rPr>
                <w:rFonts w:ascii="Times New Roman" w:hAnsi="Times New Roman" w:cs="Times New Roman"/>
                <w:szCs w:val="21"/>
              </w:rPr>
            </w:pPr>
            <w:r>
              <w:rPr>
                <w:rFonts w:ascii="Times New Roman" w:hAnsi="Times New Roman" w:cs="Times New Roman"/>
                <w:szCs w:val="21"/>
              </w:rPr>
              <w:t>4、干散货作业区应实现封闭/半封闭堆存或建设有效防风抑尘设施。采取油气回收措施等有效措施控制港区油气无组织排放。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1、严控港区油品和化学品运输、存储的环境风险，加大船舶航行安全保障和港区风险防范力度。船舶装载运输油类或者有毒货物，应当采取防止溢流和渗漏的措施，防止货物落水造成水污染。</w:t>
            </w:r>
          </w:p>
          <w:p>
            <w:pPr>
              <w:adjustRightInd w:val="0"/>
              <w:snapToGrid w:val="0"/>
              <w:rPr>
                <w:rFonts w:ascii="Times New Roman" w:hAnsi="Times New Roman" w:cs="Times New Roman"/>
                <w:szCs w:val="21"/>
              </w:rPr>
            </w:pPr>
            <w:r>
              <w:rPr>
                <w:rFonts w:ascii="Times New Roman" w:hAnsi="Times New Roman" w:cs="Times New Roman"/>
                <w:szCs w:val="21"/>
              </w:rPr>
              <w:t>2、开展环境风险评估，编制重大突发环境事件应急预案并备案，完善陆域环境风险源和海上溢油及危险化学品泄漏对近岸海域影响的应急方案，落实港区环境风险应急能力建设，并定期开展应急演练。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港区污染物排放以及用水、能耗、物耗、岸线与土地利用等资源环境指标达到行业先进水平。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HY45070020003</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大榄坪工业与城镇用海区（大榄坪工矿通信用海区）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引导海洋产业优化布局和集中适度规模开发，合理控制各类建设，用海规模，最大限度减少海域和海岸线资源消耗，提高资源利用效率。严控新增围填海造地，完善围填海总量管控；除国家重大战略项目外，全面停止新增围填海项目审批。</w:t>
            </w:r>
          </w:p>
          <w:p>
            <w:pPr>
              <w:snapToGrid w:val="0"/>
              <w:rPr>
                <w:rFonts w:ascii="Times New Roman" w:hAnsi="Times New Roman" w:cs="Times New Roman"/>
                <w:szCs w:val="21"/>
              </w:rPr>
            </w:pPr>
            <w:r>
              <w:rPr>
                <w:rFonts w:ascii="Times New Roman" w:hAnsi="Times New Roman" w:cs="Times New Roman"/>
                <w:szCs w:val="21"/>
              </w:rPr>
              <w:t>2、拟建项目应符合国家产业结构调整指导目录要求，重点支持鼓励类产业用海项目，严格限制非涉海产业用海项目，禁止高能耗、高污染产业用海项目。</w:t>
            </w:r>
          </w:p>
          <w:p>
            <w:pPr>
              <w:snapToGrid w:val="0"/>
              <w:rPr>
                <w:rFonts w:ascii="Times New Roman" w:hAnsi="Times New Roman" w:cs="Times New Roman"/>
                <w:szCs w:val="21"/>
              </w:rPr>
            </w:pPr>
            <w:r>
              <w:rPr>
                <w:rFonts w:ascii="Times New Roman" w:hAnsi="Times New Roman" w:cs="Times New Roman"/>
                <w:szCs w:val="21"/>
              </w:rPr>
              <w:t>3、注意建设区的排涝防洪设计。保障钦州湾东航道的稳定。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1、严格按照相关法律法规及海洋国土空间规划等要求，控制开发强度，规范设置和监管入海排污口，实施重点海域排污总量控制制度。</w:t>
            </w:r>
          </w:p>
          <w:p>
            <w:pPr>
              <w:adjustRightInd w:val="0"/>
              <w:snapToGrid w:val="0"/>
              <w:rPr>
                <w:rFonts w:ascii="Times New Roman" w:hAnsi="Times New Roman" w:cs="Times New Roman"/>
                <w:szCs w:val="21"/>
              </w:rPr>
            </w:pPr>
            <w:r>
              <w:rPr>
                <w:rFonts w:ascii="Times New Roman" w:hAnsi="Times New Roman" w:cs="Times New Roman"/>
                <w:szCs w:val="21"/>
              </w:rPr>
              <w:t>2、严格工业废水的达标排放，避免对海域生态环境产生不利影响，海域开发前基本保持所在海域环境质量现状水平。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1、严控油品和化学品运输的环境风险，加大船舶航行安全保障和风险防范力度。船舶装载运输油类或者有毒货物，应当采取防止溢流和渗漏的措施，防止货物落水造成水污染。</w:t>
            </w:r>
          </w:p>
          <w:p>
            <w:pPr>
              <w:adjustRightInd w:val="0"/>
              <w:snapToGrid w:val="0"/>
              <w:rPr>
                <w:rFonts w:ascii="Times New Roman" w:hAnsi="Times New Roman" w:cs="Times New Roman"/>
                <w:szCs w:val="21"/>
              </w:rPr>
            </w:pPr>
            <w:r>
              <w:rPr>
                <w:rFonts w:ascii="Times New Roman" w:hAnsi="Times New Roman" w:cs="Times New Roman"/>
                <w:szCs w:val="21"/>
              </w:rPr>
              <w:t>2、严格管控涉海重大工程环境风险，完善分类分级的海上应急监测及处置预案，在石化基地、危化品储存区等邻近海域部署快速监测能力和应急处置物资设备。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控制近岸海域开发强度和规模，逐步建立近岸海域资源利用的差别化管理制度体系。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8"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HY45070020004</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金谷港区（金谷交通运输用海区）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加强水生生物重要生境以及自然岸线、红树林、湿地等保护。新建港口码头应避让且尽量远离生态保护红线、法定保护区、鱼类“三场一通道”等环境保护目标，降低规划实施对敏感目标的影响；现有港口码头应根据其与敏感目标的位置关系，提出搬迁、退出或强化环境保护措施的要求，避免加剧不利环境影响。</w:t>
            </w:r>
          </w:p>
          <w:p>
            <w:pPr>
              <w:adjustRightInd w:val="0"/>
              <w:snapToGrid w:val="0"/>
              <w:rPr>
                <w:rFonts w:ascii="Times New Roman" w:hAnsi="Times New Roman" w:cs="Times New Roman"/>
                <w:szCs w:val="21"/>
              </w:rPr>
            </w:pPr>
            <w:r>
              <w:rPr>
                <w:rFonts w:ascii="Times New Roman" w:hAnsi="Times New Roman" w:cs="Times New Roman"/>
                <w:szCs w:val="21"/>
              </w:rPr>
              <w:t>2、干散货码头需与居民集中区保持一定距离，确保不对居民造成大气环境不利影响；危险品码头需远离各类生态环境敏感目标。</w:t>
            </w:r>
          </w:p>
          <w:p>
            <w:pPr>
              <w:adjustRightInd w:val="0"/>
              <w:snapToGrid w:val="0"/>
              <w:rPr>
                <w:rFonts w:ascii="Times New Roman" w:hAnsi="Times New Roman" w:cs="Times New Roman"/>
                <w:szCs w:val="21"/>
              </w:rPr>
            </w:pPr>
            <w:r>
              <w:rPr>
                <w:rFonts w:ascii="Times New Roman" w:hAnsi="Times New Roman" w:cs="Times New Roman"/>
                <w:szCs w:val="21"/>
              </w:rPr>
              <w:t>3、不得突破港口总体规划划定的岸线范围。</w:t>
            </w:r>
          </w:p>
          <w:p>
            <w:pPr>
              <w:adjustRightInd w:val="0"/>
              <w:snapToGrid w:val="0"/>
              <w:rPr>
                <w:rFonts w:ascii="Times New Roman" w:hAnsi="Times New Roman" w:cs="Times New Roman"/>
                <w:szCs w:val="21"/>
              </w:rPr>
            </w:pPr>
            <w:r>
              <w:rPr>
                <w:rFonts w:ascii="Times New Roman" w:hAnsi="Times New Roman" w:cs="Times New Roman"/>
                <w:szCs w:val="21"/>
              </w:rPr>
              <w:t>4、建立渔业资源损失补偿机制，开展增殖放流、人工鱼礁等生态修复工作。</w:t>
            </w:r>
          </w:p>
          <w:p>
            <w:pPr>
              <w:snapToGrid w:val="0"/>
              <w:rPr>
                <w:rFonts w:ascii="Times New Roman" w:hAnsi="Times New Roman" w:cs="Times New Roman"/>
              </w:rPr>
            </w:pPr>
            <w:r>
              <w:rPr>
                <w:rFonts w:ascii="Times New Roman" w:hAnsi="Times New Roman" w:cs="Times New Roman"/>
                <w:szCs w:val="21"/>
              </w:rPr>
              <w:t>5、严格控制建设不符合《广西北部湾港总体规划修编》、《钦州港总体规划（2035年）》的港口码头项目。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3"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1、船舶排放含油污水、生活污水等，应当符合船舶污染物排放标准。禁止向水体倾倒船舶垃圾。禁止排放不符合规定的船舶压载水。</w:t>
            </w:r>
          </w:p>
          <w:p>
            <w:pPr>
              <w:adjustRightInd w:val="0"/>
              <w:snapToGrid w:val="0"/>
              <w:rPr>
                <w:rFonts w:ascii="Times New Roman" w:hAnsi="Times New Roman" w:cs="Times New Roman"/>
                <w:szCs w:val="21"/>
              </w:rPr>
            </w:pPr>
            <w:r>
              <w:rPr>
                <w:rFonts w:ascii="Times New Roman" w:hAnsi="Times New Roman" w:cs="Times New Roman"/>
                <w:szCs w:val="21"/>
              </w:rPr>
              <w:t>2、统筹规划建设船舶污染物、废弃物的接收、转运及处理处置设施。从事船舶污染物、废弃物接收作业，或者从事装载油类、污染危害性货物船舱清洗作业的单位，应当具备与其运营规模相适应的接收处理能力。</w:t>
            </w:r>
          </w:p>
          <w:p>
            <w:pPr>
              <w:adjustRightInd w:val="0"/>
              <w:snapToGrid w:val="0"/>
              <w:rPr>
                <w:rFonts w:ascii="Times New Roman" w:hAnsi="Times New Roman" w:cs="Times New Roman"/>
                <w:szCs w:val="21"/>
              </w:rPr>
            </w:pPr>
            <w:r>
              <w:rPr>
                <w:rFonts w:ascii="Times New Roman" w:hAnsi="Times New Roman" w:cs="Times New Roman"/>
                <w:szCs w:val="21"/>
              </w:rPr>
              <w:t>3、实行雨污分流和污水分质处理，完善港区污水集中处理设施和配套管网建设，实现污水集中处理、回用或达标排放。</w:t>
            </w:r>
          </w:p>
          <w:p>
            <w:pPr>
              <w:adjustRightInd w:val="0"/>
              <w:snapToGrid w:val="0"/>
              <w:rPr>
                <w:rFonts w:ascii="Times New Roman" w:hAnsi="Times New Roman" w:cs="Times New Roman"/>
                <w:szCs w:val="21"/>
              </w:rPr>
            </w:pPr>
            <w:r>
              <w:rPr>
                <w:rFonts w:ascii="Times New Roman" w:hAnsi="Times New Roman" w:cs="Times New Roman"/>
                <w:szCs w:val="21"/>
              </w:rPr>
              <w:t>4、干散货作业区应实现封闭/半封闭堆存或建设有效防风抑尘设施。采取油气回收措施等有效措施控制港区油气无组织排放。</w:t>
            </w:r>
          </w:p>
          <w:p>
            <w:pPr>
              <w:snapToGrid w:val="0"/>
              <w:rPr>
                <w:rFonts w:ascii="Times New Roman" w:hAnsi="Times New Roman" w:cs="Times New Roman"/>
              </w:rPr>
            </w:pPr>
            <w:r>
              <w:rPr>
                <w:rFonts w:ascii="Times New Roman" w:hAnsi="Times New Roman" w:cs="Times New Roman"/>
                <w:szCs w:val="21"/>
              </w:rPr>
              <w:t>5、钦州湾超标海域整治：（1）推进钦州市东排水口、犀牛脚镇排污口、胜科污水处理厂纳污区域、大榄坪污水处理厂纳污区域、三墩循环经济示范岛水污染整治。（2）污水处理厂尾水严格执行污染物排放标准，实施污染物排放总量控制。（3）推进雨污分流制改造。（4）加强工业集聚区污染治理和污染物排放控制，提高企业工业用水重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1、严控港区油品和化学品运输、存储的环境风险，加大船舶航行安全保障和港区风险防范力度。船舶装载运输油类或者有毒货物，应当采取防止溢流和渗漏的措施，防止货物落水造成水污染。</w:t>
            </w:r>
          </w:p>
          <w:p>
            <w:pPr>
              <w:adjustRightInd w:val="0"/>
              <w:snapToGrid w:val="0"/>
              <w:rPr>
                <w:rFonts w:ascii="Times New Roman" w:hAnsi="Times New Roman" w:cs="Times New Roman"/>
                <w:szCs w:val="21"/>
              </w:rPr>
            </w:pPr>
            <w:r>
              <w:rPr>
                <w:rFonts w:ascii="Times New Roman" w:hAnsi="Times New Roman" w:cs="Times New Roman"/>
                <w:szCs w:val="21"/>
              </w:rPr>
              <w:t>2、开展环境风险评估，编制重大突发环境事件应急预案并备案，完善陆域环境风险源和海上溢油及危险化学品泄漏对近岸海域影响的应急方案，落实港区环境风险应急能力建设，并定期开展应急演练。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港区污染物排放以及用水、能耗、物耗、岸线与土地利用等资源环境指标达到行业先进水平。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HY45070020005</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金鼓江工业与城镇用海区（金鼓江工矿通信用海区）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引导海洋产业优化布局和集中适度规模开发，合理控制各类建设，用海规模，最大限度减少海域和海岸线资源消耗，提高资源利用效率。严控新增围填海造地，完善围填海总量管控；除国家重大战略项目外，全面停止新增围填海项目审批。</w:t>
            </w:r>
          </w:p>
          <w:p>
            <w:pPr>
              <w:adjustRightInd w:val="0"/>
              <w:snapToGrid w:val="0"/>
              <w:rPr>
                <w:rFonts w:ascii="Times New Roman" w:hAnsi="Times New Roman" w:cs="Times New Roman"/>
                <w:szCs w:val="21"/>
              </w:rPr>
            </w:pPr>
            <w:r>
              <w:rPr>
                <w:rFonts w:ascii="Times New Roman" w:hAnsi="Times New Roman" w:cs="Times New Roman"/>
                <w:szCs w:val="21"/>
              </w:rPr>
              <w:t>2、拟建项目应符合国家产业结构调整指导目录要求，重点支持鼓励类产业用海项目，严格限制非涉海产业用海项目，禁止高能耗、高污染产业用海项目。</w:t>
            </w:r>
          </w:p>
          <w:p>
            <w:pPr>
              <w:adjustRightInd w:val="0"/>
              <w:snapToGrid w:val="0"/>
              <w:rPr>
                <w:rFonts w:ascii="Times New Roman" w:hAnsi="Times New Roman" w:cs="Times New Roman"/>
                <w:szCs w:val="21"/>
              </w:rPr>
            </w:pPr>
            <w:r>
              <w:rPr>
                <w:rFonts w:ascii="Times New Roman" w:hAnsi="Times New Roman" w:cs="Times New Roman"/>
                <w:szCs w:val="21"/>
              </w:rPr>
              <w:t>3、进行海域疏浚与海岸生态建设与整治，保障防洪、泄洪安全。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1、严格按照相关法律法规及海洋国土空间规划等要求，控制开发强度，规范设置和监管入海排污口，实施重点海域排污总量控制制度。</w:t>
            </w:r>
          </w:p>
          <w:p>
            <w:pPr>
              <w:adjustRightInd w:val="0"/>
              <w:snapToGrid w:val="0"/>
              <w:rPr>
                <w:rFonts w:ascii="Times New Roman" w:hAnsi="Times New Roman" w:cs="Times New Roman"/>
                <w:szCs w:val="21"/>
              </w:rPr>
            </w:pPr>
            <w:r>
              <w:rPr>
                <w:rFonts w:ascii="Times New Roman" w:hAnsi="Times New Roman" w:cs="Times New Roman"/>
                <w:szCs w:val="21"/>
              </w:rPr>
              <w:t>2、钦州湾超标海域整治：（1）推进钦州市东排水口、犀牛脚镇排污口、胜科污水处理厂纳污区域、大榄坪污水处理厂纳污区域、三墩循环经济示范岛水污染整治。（2）污水处理厂尾水严格执行污染物排放标准，实施污染物排放总量控制。（3）推进雨污分流制改造。（4）加强工业集聚区污染治理和污染物排放控制，提高企业工业用水重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1、严控油品和化学品运输的环境风险，加大船舶航行安全保障和风险防范力度。船舶装载运输油类或者有毒货物，应当采取防止溢流和渗漏的措施，防止货物落水造成水污染。</w:t>
            </w:r>
          </w:p>
          <w:p>
            <w:pPr>
              <w:snapToGrid w:val="0"/>
              <w:rPr>
                <w:rFonts w:ascii="Times New Roman" w:hAnsi="Times New Roman" w:cs="Times New Roman"/>
              </w:rPr>
            </w:pPr>
            <w:r>
              <w:rPr>
                <w:rFonts w:ascii="Times New Roman" w:hAnsi="Times New Roman" w:cs="Times New Roman"/>
                <w:szCs w:val="21"/>
              </w:rPr>
              <w:t>2、严格管控涉海重大工程环境风险，完善分类分级的海上应急监测及处置预案，在石化基地、危化品储存区等邻近海域部署快速监测能力和应急处置物资设备。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控制近岸海域开发强度和规模，逐步建立近岸海域资源利用的差别化管理制度体系。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HY45070020006</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老人沙保留区（老人沙海洋预留区）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numPr>
                <w:ilvl w:val="255"/>
                <w:numId w:val="0"/>
              </w:numPr>
              <w:adjustRightInd w:val="0"/>
              <w:snapToGrid w:val="0"/>
              <w:rPr>
                <w:rFonts w:ascii="Times New Roman" w:hAnsi="Times New Roman" w:cs="Times New Roman"/>
              </w:rPr>
            </w:pPr>
            <w:r>
              <w:rPr>
                <w:rFonts w:ascii="Times New Roman" w:hAnsi="Times New Roman" w:cs="Times New Roman"/>
              </w:rPr>
              <w:t>1、严格论证海域最适合功能。基本功能确定前维持现状。加强功能区运行监测和评估，根据功能区生态状况及时作出继续保留或开发的决定；对临时性开发利用，必须实行严格的申请、认证和审批制度；切实加强保留区海域论证与海洋环境影响评价控制，确保不影响毗邻海域功能区的环境质量，避免海域使用矛盾冲突。</w:t>
            </w:r>
          </w:p>
          <w:p>
            <w:pPr>
              <w:numPr>
                <w:ilvl w:val="255"/>
                <w:numId w:val="0"/>
              </w:numPr>
              <w:snapToGrid w:val="0"/>
              <w:rPr>
                <w:rFonts w:ascii="Times New Roman" w:hAnsi="Times New Roman" w:cs="Times New Roman"/>
              </w:rPr>
            </w:pPr>
            <w:r>
              <w:rPr>
                <w:rFonts w:ascii="Times New Roman" w:hAnsi="Times New Roman" w:cs="Times New Roman"/>
              </w:rPr>
              <w:t>2、严控新增围填海造地，完善围填海总量管控；除国家重大战略项目外，全面停止新增围填海项目审批。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船舶排放含油污水、生活污水，应当符合船舶污染物排放标准。从事海洋航运的船舶进入内河和港口的，应当遵守内河的船舶污染物排放标准。船舶的残油、废油应当回收，禁止排入水体。禁止向水体倾倒船舶垃圾。航行于广西水域的国际航线船舶，实施压载水交换、安装压载水灭活处理系统或者采取其他等效措施，对压载水进行灭活等处理。禁止排放不符合规定的船舶压载水。</w:t>
            </w:r>
          </w:p>
          <w:p>
            <w:pPr>
              <w:adjustRightInd w:val="0"/>
              <w:snapToGrid w:val="0"/>
              <w:rPr>
                <w:rFonts w:ascii="Times New Roman" w:hAnsi="Times New Roman" w:cs="Times New Roman"/>
                <w:szCs w:val="21"/>
              </w:rPr>
            </w:pPr>
            <w:r>
              <w:rPr>
                <w:rFonts w:ascii="Times New Roman" w:hAnsi="Times New Roman" w:cs="Times New Roman"/>
                <w:szCs w:val="21"/>
              </w:rPr>
              <w:t>2、钦州湾超标海域整治：（1）推进钦州市东排水口、犀牛脚镇排污口、胜科污水处理厂纳污区域、大榄坪污水处理厂纳污区域、三墩循环经济示范岛水污染整治。（2）污水处理厂尾水严格执行污染物排放标准，实施污染物排放总量控制。（3）推进雨污分流制改造。（4）加强工业集聚区污染治理和污染物排放控制，提高企业工业用水重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pStyle w:val="31"/>
              <w:rPr>
                <w:rFonts w:eastAsiaTheme="minorEastAsia"/>
              </w:rPr>
            </w:pPr>
            <w:r>
              <w:rPr>
                <w:rFonts w:eastAsiaTheme="minorEastAsia"/>
              </w:rPr>
              <w:t>1、全面落实河长制、湾长制，加强入海排污口监管，建立长效管理机制，建立资源环境承载能力监测预警机制。</w:t>
            </w:r>
          </w:p>
          <w:p>
            <w:pPr>
              <w:pStyle w:val="31"/>
              <w:rPr>
                <w:rFonts w:eastAsiaTheme="minorEastAsia"/>
              </w:rPr>
            </w:pPr>
            <w:r>
              <w:rPr>
                <w:rFonts w:eastAsiaTheme="minorEastAsia"/>
              </w:rPr>
              <w:t>2、加强海洋赤潮灾害监测、预警、应急处置能力的建设。</w:t>
            </w:r>
          </w:p>
          <w:p>
            <w:pPr>
              <w:pStyle w:val="31"/>
            </w:pPr>
            <w:r>
              <w:rPr>
                <w:rFonts w:eastAsiaTheme="minorEastAsia"/>
              </w:rPr>
              <w:t>3、</w:t>
            </w:r>
            <w:r>
              <w:t>开展环境风险评估，加大船舶航行安全保障和港区风险防范力度。</w:t>
            </w:r>
            <w:r>
              <w:rPr>
                <w:rFonts w:eastAsiaTheme="minorEastAsia"/>
              </w:rPr>
              <w:t>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pStyle w:val="31"/>
            </w:pPr>
            <w:r>
              <w:rPr>
                <w:rFonts w:eastAsiaTheme="minorEastAsia"/>
              </w:rPr>
              <w:t>保留海域后备空间资源，区域优先支持海洋可再生能源开发、科学研究、公益性项目及其他实验性用海活动。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HY45070020007</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龙门及观音堂保留区（龙门及观音堂海洋预留区）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1、海岸基本功能为旅游娱乐用海，完善旅游基础设施建设。重点发展海滨度假、休闲游憩等项目。海域开发活动不得影响防洪、泄洪安全。保障龙门水道水动力环境基本稳定。</w:t>
            </w:r>
          </w:p>
          <w:p>
            <w:pPr>
              <w:snapToGrid w:val="0"/>
              <w:rPr>
                <w:rFonts w:ascii="Times New Roman" w:hAnsi="Times New Roman" w:cs="Times New Roman"/>
              </w:rPr>
            </w:pPr>
            <w:r>
              <w:rPr>
                <w:rFonts w:ascii="Times New Roman" w:hAnsi="Times New Roman" w:cs="Times New Roman"/>
              </w:rPr>
              <w:t>2、严控新增围填海造地，完善围填海总量管控；除国家重大战略项目外，全面停止新增围填海项目审批。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1、严格实行污水达标排放和生活垃圾科学处置；加强区域环境质量监测及污染监测，海域开发前基本保持所在海域环境质量现状水平。</w:t>
            </w:r>
          </w:p>
          <w:p>
            <w:pPr>
              <w:adjustRightInd w:val="0"/>
              <w:snapToGrid w:val="0"/>
              <w:rPr>
                <w:rFonts w:ascii="Times New Roman" w:hAnsi="Times New Roman" w:cs="Times New Roman"/>
                <w:szCs w:val="21"/>
              </w:rPr>
            </w:pPr>
            <w:r>
              <w:rPr>
                <w:rFonts w:ascii="Times New Roman" w:hAnsi="Times New Roman" w:cs="Times New Roman"/>
                <w:szCs w:val="21"/>
              </w:rPr>
              <w:t>2、船舶排放含油污水、生活污水，应当符合船舶污染物排放标准。从事海洋航运的船舶进入内河和港口的，应当遵守内河的船舶污染物排放标准。船舶的残油、废油应当回收，禁止排入水体。禁止向水体倾倒船舶垃圾。，航行于广西水域的国际航线船舶，实施压载水交换、安装压载水灭活处理系统或者采取其他等效措施，对压载水进行灭活等处理。禁止排放不符合规定的船舶压载水。</w:t>
            </w:r>
          </w:p>
          <w:p>
            <w:pPr>
              <w:adjustRightInd w:val="0"/>
              <w:snapToGrid w:val="0"/>
              <w:rPr>
                <w:rFonts w:ascii="Times New Roman" w:hAnsi="Times New Roman" w:cs="Times New Roman"/>
                <w:szCs w:val="21"/>
              </w:rPr>
            </w:pPr>
            <w:r>
              <w:rPr>
                <w:rFonts w:ascii="Times New Roman" w:hAnsi="Times New Roman" w:cs="Times New Roman"/>
                <w:szCs w:val="21"/>
              </w:rPr>
              <w:t>3、茅尾海超标海域整治：（1）水产养殖废水整治。推进鱼（虾）塘标准化、生态化改造，加强养殖投入品管理。全面开展茅尾海沿岸养殖排水口排查监管整治，规范养殖尾水排放方式，严禁未经处理尾水直排入茅尾海。（2）茅尾海沿岸生活污水排放整治。完善镇级污水处理设施管网建设。加快推进沿海农村环境综合整治污水设施项目建设。（3）加强畜禽养殖监管，加大违规养殖整治力度。积极促进畜牧粪污资源化利用，规范养殖粪污排放方式，严禁直排污染。控制海鸭散养规模，推进规模化养殖场（小区）建设；控制海鸭养殖区域，限制河道内、海堤水门区域、红树林保护区的海鸭养殖活动。加大微生物技术在畜禽养殖行业的应用；推行养殖环境生态化和养殖设施标准化建设；推广种养结合、畜禽水产养殖结合的循环养殖模式。（4）养殖污染控制。转变渔业养殖模式，大力发展深海养殖。控制生蚝养殖密度，提高生蚝养殖技术，加强养殖水质预警。（5）茅尾海沿岸农业种植污染控制。转变农业发展方式。推广使用高效、低毒、低残留农药，推进作物病虫害绿色防控和统防统治融合发展。实行测土配方施肥。（6）茅尾海沿岸企业污染控制。持续开展“散乱污”企业整治。优化沿海产业布局，严格执行污染物排放标准，强化工业企业总氮和总磷等污染物负荷削减，实施污染物排放总量控制。加强工业集聚区污染治理和污染物排放控制。强化工业集聚区配套污水集中处理设施的管理和配套官网建设，确保处理设施稳定运行、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rPr>
                <w:rFonts w:ascii="Times New Roman" w:hAnsi="Times New Roman" w:cs="Times New Roman"/>
              </w:rPr>
            </w:pPr>
            <w:r>
              <w:rPr>
                <w:rFonts w:ascii="Times New Roman" w:hAnsi="Times New Roman" w:cs="Times New Roman"/>
              </w:rPr>
              <w:t>1、全面落实河长制、湾长制，加强入海排污口监管，建立长效管理机制，建立资源环境承载能力监测预警机制。</w:t>
            </w:r>
          </w:p>
          <w:p>
            <w:pPr>
              <w:rPr>
                <w:rFonts w:ascii="Times New Roman" w:hAnsi="Times New Roman" w:cs="Times New Roman"/>
              </w:rPr>
            </w:pPr>
            <w:r>
              <w:rPr>
                <w:rFonts w:ascii="Times New Roman" w:hAnsi="Times New Roman" w:cs="Times New Roman"/>
              </w:rPr>
              <w:t>2、加强海洋赤潮灾害监测、预警、应急处置能力的建设。</w:t>
            </w:r>
          </w:p>
          <w:p>
            <w:pPr>
              <w:snapToGrid w:val="0"/>
              <w:rPr>
                <w:rFonts w:ascii="Times New Roman" w:hAnsi="Times New Roman" w:cs="Times New Roman"/>
              </w:rPr>
            </w:pPr>
            <w:r>
              <w:rPr>
                <w:rFonts w:ascii="Times New Roman" w:hAnsi="Times New Roman" w:cs="Times New Roman"/>
              </w:rPr>
              <w:t>3、开展环境风险评估，加大船舶航行安全保障和港区风险防范力度。完善区域应急联动机制。探索建立健全沿海环境污染责任保险制度。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rPr>
              <w:t>保留海域后备空间资源，区域优先支持海洋可再生能源开发、科学研究、公益性项目及其他实验性用海活动。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HY45070020008</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龙门及观音堂旅游休闲娱乐区（龙门及观音堂游憩用海区）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1、海岸基本功能为旅游娱乐用海，完善旅游基础设施建设。重点发展海滨度假、休闲游憩等项目。海域开发活动不得影响防洪、泄洪安全。保障龙门水道水动力环境基本稳定。</w:t>
            </w:r>
          </w:p>
          <w:p>
            <w:pPr>
              <w:snapToGrid w:val="0"/>
              <w:rPr>
                <w:rFonts w:ascii="Times New Roman" w:hAnsi="Times New Roman" w:cs="Times New Roman"/>
              </w:rPr>
            </w:pPr>
            <w:r>
              <w:rPr>
                <w:rFonts w:ascii="Times New Roman" w:hAnsi="Times New Roman" w:cs="Times New Roman"/>
              </w:rPr>
              <w:t>2、严控新增围填海造地，完善围填海总量管控；除国家重大战略项目外，全面停止新增围填海项目审批。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1、严格实行污水达标排放和生活垃圾科学处置</w:t>
            </w:r>
            <w:r>
              <w:rPr>
                <w:rFonts w:ascii="Times New Roman" w:hAnsi="Times New Roman" w:cs="Times New Roman"/>
              </w:rPr>
              <w:t>，禁止直接排海，加强定期海域水质监测</w:t>
            </w:r>
            <w:r>
              <w:rPr>
                <w:rFonts w:ascii="Times New Roman" w:hAnsi="Times New Roman" w:cs="Times New Roman"/>
                <w:szCs w:val="21"/>
              </w:rPr>
              <w:t>。</w:t>
            </w:r>
          </w:p>
          <w:p>
            <w:pPr>
              <w:adjustRightInd w:val="0"/>
              <w:snapToGrid w:val="0"/>
              <w:rPr>
                <w:rFonts w:ascii="Times New Roman" w:hAnsi="Times New Roman" w:cs="Times New Roman"/>
                <w:szCs w:val="21"/>
              </w:rPr>
            </w:pPr>
            <w:r>
              <w:rPr>
                <w:rFonts w:ascii="Times New Roman" w:hAnsi="Times New Roman" w:cs="Times New Roman"/>
                <w:szCs w:val="21"/>
              </w:rPr>
              <w:t>2、船舶排放含油污水、生活污水，应当符合船舶污染物排放标准。从事海洋航运的船舶进入内河和港口的，应当遵守内河的船舶污染物排放标准。船舶的残油、废油应当回收，禁止排入水体。禁止向水体倾倒船舶垃圾。航行于广西水域的国际航线船舶，实施压载水交换、安装压载水灭活处理系统或者采取其他等效措施，对压载水进行灭活等处理。禁止排放不符合规定的船舶压载水。</w:t>
            </w:r>
          </w:p>
          <w:p>
            <w:pPr>
              <w:adjustRightInd w:val="0"/>
              <w:snapToGrid w:val="0"/>
              <w:rPr>
                <w:rFonts w:ascii="Times New Roman" w:hAnsi="Times New Roman" w:cs="Times New Roman"/>
                <w:szCs w:val="21"/>
              </w:rPr>
            </w:pPr>
            <w:r>
              <w:rPr>
                <w:rFonts w:ascii="Times New Roman" w:hAnsi="Times New Roman" w:cs="Times New Roman"/>
                <w:szCs w:val="21"/>
              </w:rPr>
              <w:t>3、茅尾海超标海域整治：（1）水产养殖废水整治。推进鱼（虾）塘标准化、生态化改造，加强养殖投入品管理。全面开展茅尾海沿岸养殖排水口排查监管整治，规范养殖尾水排放方式，严禁未经处理尾水直排入茅尾海。（2）茅尾海沿岸生活污水排放整治。完善镇级污水处理设施管网建设。加快推进沿海农村环境综合整治污水设施项目建设。（3）加强畜禽养殖监管，加大违规养殖整治力度。积极促进畜牧粪污资源化利用，规范养殖粪污排放方式，严禁直排污染。控制海鸭散养规模，推进规模化养殖场（小区）建设；控制海鸭养殖区域，限制河道内、海堤水门区域、红树林保护区的海鸭养殖活动。加大微生物技术在畜禽养殖行业的应用；推行养殖环境生态化和养殖设施标准化建设；推广种养结合、畜禽水产养殖结合的循环养殖模式。（4）养殖污染控制。转变渔业养殖模式，大力发展深海养殖。控制生蚝养殖密度，提高生蚝养殖技术，加强养殖水质预警。（5）茅尾海沿岸农业种植污染控制。转变农业发展方式。推广使用高效、低毒、低残留农药，推进作物病虫害绿色防控和统防统治融合发展。实行测土配方施肥。（6）茅尾海沿岸企业污染控制。持续开展“散乱污”企业整治。优化沿海产业布局，严格执行污染物排放标准，强化工业企业总氮和总磷等污染物负荷削减，实施污染物排放总量控制。加强工业集聚区污染治理和污染物排放控制。强化工业集聚区配套污水集中处理设施的管理和配套官网建设，确保处理设施稳定运行、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1、全面落实河长制、湾长制，加强入海排污口监管，建立长效管理机制，建立资源环境承载能力监测预警机制。</w:t>
            </w:r>
          </w:p>
          <w:p>
            <w:pPr>
              <w:adjustRightInd w:val="0"/>
              <w:snapToGrid w:val="0"/>
              <w:rPr>
                <w:rFonts w:ascii="Times New Roman" w:hAnsi="Times New Roman" w:cs="Times New Roman"/>
                <w:szCs w:val="21"/>
              </w:rPr>
            </w:pPr>
            <w:r>
              <w:rPr>
                <w:rFonts w:ascii="Times New Roman" w:hAnsi="Times New Roman" w:cs="Times New Roman"/>
                <w:szCs w:val="21"/>
              </w:rPr>
              <w:t>2、加强海洋赤潮灾害监测、预警、应急处置能力的建设。</w:t>
            </w:r>
          </w:p>
          <w:p>
            <w:pPr>
              <w:adjustRightInd w:val="0"/>
              <w:snapToGrid w:val="0"/>
              <w:rPr>
                <w:rFonts w:ascii="Times New Roman" w:hAnsi="Times New Roman" w:cs="Times New Roman"/>
                <w:szCs w:val="21"/>
              </w:rPr>
            </w:pPr>
            <w:r>
              <w:rPr>
                <w:rFonts w:ascii="Times New Roman" w:hAnsi="Times New Roman" w:cs="Times New Roman"/>
                <w:szCs w:val="21"/>
              </w:rPr>
              <w:t>3、开展环境风险评估，加大船舶航行安全保障和港区风险防范力度。完善区域应急联动机制。探索建立健全沿海环境污染责任保险制度。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rPr>
              <w:t>根据资源环境承载能力，合理控制旅游开发强度，科学有序发展岸线、岸滩。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HY45070020009</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茅岭港区（钦州市）（茅岭交通运输用海区）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加强水生生物重要生境以及自然岸线、红树林、湿地等保护。新建港口码头应避让且尽量远离生态保护红线、法定保护区、鱼类“三场一通道”等环境保护目标，降低规划实施对敏感目标的影响；现有港口码头应根据其与敏感目标的位置关系，提出搬迁、退出或强化环境保护措施的要求，避免加剧不利环境影响。</w:t>
            </w:r>
          </w:p>
          <w:p>
            <w:pPr>
              <w:adjustRightInd w:val="0"/>
              <w:snapToGrid w:val="0"/>
              <w:rPr>
                <w:rFonts w:ascii="Times New Roman" w:hAnsi="Times New Roman" w:cs="Times New Roman"/>
                <w:szCs w:val="21"/>
              </w:rPr>
            </w:pPr>
            <w:r>
              <w:rPr>
                <w:rFonts w:ascii="Times New Roman" w:hAnsi="Times New Roman" w:cs="Times New Roman"/>
                <w:szCs w:val="21"/>
              </w:rPr>
              <w:t>2、干散货码头需与居民集中区保持一定距离，确保不对居民造成大气环境不利影响。</w:t>
            </w:r>
          </w:p>
          <w:p>
            <w:pPr>
              <w:adjustRightInd w:val="0"/>
              <w:snapToGrid w:val="0"/>
              <w:rPr>
                <w:rFonts w:ascii="Times New Roman" w:hAnsi="Times New Roman" w:cs="Times New Roman"/>
                <w:szCs w:val="21"/>
              </w:rPr>
            </w:pPr>
            <w:r>
              <w:rPr>
                <w:rFonts w:ascii="Times New Roman" w:hAnsi="Times New Roman" w:cs="Times New Roman"/>
                <w:szCs w:val="21"/>
              </w:rPr>
              <w:t>3、不得突破港口总体规划划定的岸线范围。</w:t>
            </w:r>
          </w:p>
          <w:p>
            <w:pPr>
              <w:adjustRightInd w:val="0"/>
              <w:snapToGrid w:val="0"/>
              <w:rPr>
                <w:rFonts w:ascii="Times New Roman" w:hAnsi="Times New Roman" w:cs="Times New Roman"/>
                <w:szCs w:val="21"/>
              </w:rPr>
            </w:pPr>
            <w:r>
              <w:rPr>
                <w:rFonts w:ascii="Times New Roman" w:hAnsi="Times New Roman" w:cs="Times New Roman"/>
                <w:szCs w:val="21"/>
              </w:rPr>
              <w:t>4、建立渔业资源损失补偿机制，开展增殖放流、人工鱼礁等生态修复工作。</w:t>
            </w:r>
          </w:p>
          <w:p>
            <w:pPr>
              <w:snapToGrid w:val="0"/>
              <w:rPr>
                <w:rFonts w:ascii="Times New Roman" w:hAnsi="Times New Roman" w:cs="Times New Roman"/>
              </w:rPr>
            </w:pPr>
            <w:r>
              <w:rPr>
                <w:rFonts w:ascii="Times New Roman" w:hAnsi="Times New Roman" w:cs="Times New Roman"/>
                <w:szCs w:val="21"/>
              </w:rPr>
              <w:t>5、严格控制建设不符合《广西北部湾港总体规划修编》、《钦州港总体规划（2035年）》的港口码头项目。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rPr>
              <w:t>1</w:t>
            </w:r>
            <w:r>
              <w:rPr>
                <w:rFonts w:ascii="Times New Roman" w:hAnsi="Times New Roman" w:cs="Times New Roman"/>
                <w:szCs w:val="21"/>
              </w:rPr>
              <w:t>、船舶排放含油污水、生活污水等，应当符合船舶污染物排放标准。禁止向水体倾倒船舶垃圾。禁止排放不符合规定的船舶压载水。</w:t>
            </w:r>
          </w:p>
          <w:p>
            <w:pPr>
              <w:adjustRightInd w:val="0"/>
              <w:snapToGrid w:val="0"/>
              <w:rPr>
                <w:rFonts w:ascii="Times New Roman" w:hAnsi="Times New Roman" w:cs="Times New Roman"/>
                <w:szCs w:val="21"/>
              </w:rPr>
            </w:pPr>
            <w:r>
              <w:rPr>
                <w:rFonts w:ascii="Times New Roman" w:hAnsi="Times New Roman" w:cs="Times New Roman"/>
                <w:szCs w:val="21"/>
              </w:rPr>
              <w:t>2、统筹规划建设船舶污染物、废弃物的接收、转运及处理处置设施。从事船舶污染物、废弃物接收作业，或者从事装载油类、污染危害性货物船舱清洗作业的单位，应当具备与其运营规模相适应的接收处理能力。</w:t>
            </w:r>
          </w:p>
          <w:p>
            <w:pPr>
              <w:adjustRightInd w:val="0"/>
              <w:snapToGrid w:val="0"/>
              <w:rPr>
                <w:rFonts w:ascii="Times New Roman" w:hAnsi="Times New Roman" w:cs="Times New Roman"/>
                <w:szCs w:val="21"/>
              </w:rPr>
            </w:pPr>
            <w:r>
              <w:rPr>
                <w:rFonts w:ascii="Times New Roman" w:hAnsi="Times New Roman" w:cs="Times New Roman"/>
                <w:szCs w:val="21"/>
              </w:rPr>
              <w:t>3、实行雨污分流和污水分质处理，完善港区污水集中处理设施和配套管网建设，实现污水集中处理、回用或达标排放。</w:t>
            </w:r>
          </w:p>
          <w:p>
            <w:pPr>
              <w:adjustRightInd w:val="0"/>
              <w:snapToGrid w:val="0"/>
              <w:rPr>
                <w:rFonts w:ascii="Times New Roman" w:hAnsi="Times New Roman" w:cs="Times New Roman"/>
                <w:szCs w:val="21"/>
              </w:rPr>
            </w:pPr>
            <w:r>
              <w:rPr>
                <w:rFonts w:ascii="Times New Roman" w:hAnsi="Times New Roman" w:cs="Times New Roman"/>
                <w:szCs w:val="21"/>
              </w:rPr>
              <w:t>4、干散货作业区应实现封闭/半封闭堆存或建设有效防风抑尘设施。</w:t>
            </w:r>
          </w:p>
          <w:p>
            <w:pPr>
              <w:snapToGrid w:val="0"/>
              <w:rPr>
                <w:rFonts w:ascii="Times New Roman" w:hAnsi="Times New Roman" w:cs="Times New Roman"/>
              </w:rPr>
            </w:pPr>
            <w:r>
              <w:rPr>
                <w:rFonts w:ascii="Times New Roman" w:hAnsi="Times New Roman" w:cs="Times New Roman"/>
                <w:szCs w:val="21"/>
              </w:rPr>
              <w:t>5、茅尾海超标海域整治：（1）水产养殖废水整治。推进鱼（虾）塘标准化、生态化改造，加强养殖投入品管理。全面开展茅尾海沿岸养殖排水口排查监管整治，规范养殖尾水排放方式，严禁未经处理尾水直排入茅尾海。（2）茅尾海沿岸生活污水排放整治。完善镇级污水处理设施管网建设。加快推进沿海农村环境综合整治污水设施项目建设。（3）加强畜禽养殖监管，加大违规养殖整治力度。积极促进畜牧粪污资源化利用，规范养殖粪污排放方式，严禁直排污染。控制海鸭散养规模，推进规模化养殖场（小区）建设；控制海鸭养殖区域，限制河道内、海堤水门区域、红树林保护区的海鸭养殖活动。加大微生物技术在畜禽养殖行业的应用；推行养殖环境生态化和养殖设施标准化建设；推广种养结合、畜禽水产养殖结合的循环养殖模式。（4）养殖污染控制。转变渔业养殖模式，大力发展深海养殖。控制生蚝养殖密度，提高生蚝养殖技术，加强养殖水质预警。（5）茅尾海沿岸农业种植污染控制。转变农业发展方式。推广使用高效、低毒、低残留农药，推进作物病虫害绿色防控和统防统治融合发展。实行测土配方施肥。（6）茅尾海沿岸企业污染控制。持续开展“散乱污”企业整治。优化沿海产业布局，严格执行污染物排放标准，强化工业企业总氮和总磷等污染物负荷削减，实施污染物排放总量控制。加强工业集聚区污染治理和污染物排放控制。强化工业集聚区配套污水集中处理设施的管理和配套官网建设，确保处理设施稳定运行、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1、严控港区油品和化学品运输、存储的环境风险，加大船舶航行安全保障和港区风险防范力度。船舶装载运输油类或者有毒货物，应当采取防止溢流和渗漏的措施，防止货物落水造成水污染。</w:t>
            </w:r>
          </w:p>
          <w:p>
            <w:pPr>
              <w:adjustRightInd w:val="0"/>
              <w:snapToGrid w:val="0"/>
              <w:rPr>
                <w:rFonts w:ascii="Times New Roman" w:hAnsi="Times New Roman" w:cs="Times New Roman"/>
                <w:szCs w:val="21"/>
              </w:rPr>
            </w:pPr>
            <w:r>
              <w:rPr>
                <w:rFonts w:ascii="Times New Roman" w:hAnsi="Times New Roman" w:cs="Times New Roman"/>
                <w:szCs w:val="21"/>
              </w:rPr>
              <w:t>2、开展环境风险评估，编制重大突发环境事件应急预案并备案，完善陆域环境风险源和海上溢油及危险化学品泄漏对近岸海域影响的应急方案，落实港区环境风险应急能力建设，并定期开展应急演练。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港区污染物排放以及用水、能耗、物耗、岸线与土地利用等资源环境指标达到行业先进水平。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HY45070020010</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茅岭江保留区（茅岭江海洋预留区）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1、兼容排洪泄洪功能。严格限制改变海域自然属性；不得影响防洪、泄洪安全。保障茅岭江河道通畅。</w:t>
            </w:r>
          </w:p>
          <w:p>
            <w:pPr>
              <w:pStyle w:val="2"/>
              <w:rPr>
                <w:rFonts w:hint="default" w:ascii="Times New Roman" w:hAnsi="Times New Roman"/>
                <w:color w:val="auto"/>
              </w:rPr>
            </w:pPr>
            <w:r>
              <w:rPr>
                <w:rFonts w:hint="default" w:ascii="Times New Roman" w:hAnsi="Times New Roman" w:eastAsiaTheme="minorEastAsia"/>
                <w:color w:val="auto"/>
                <w:kern w:val="2"/>
                <w:sz w:val="21"/>
                <w:szCs w:val="24"/>
              </w:rPr>
              <w:t>2、严控新增围填海造地，完善围填海总量管控；除国家重大战略项目外，全面停止新增围填海项目审批。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1、加强区域环境质量监测、污染监测和检查工作，海域开发前基本保持所在海域环境质量现状水平。</w:t>
            </w:r>
          </w:p>
          <w:p>
            <w:pPr>
              <w:adjustRightInd w:val="0"/>
              <w:snapToGrid w:val="0"/>
              <w:rPr>
                <w:rFonts w:ascii="Times New Roman" w:hAnsi="Times New Roman" w:cs="Times New Roman"/>
                <w:szCs w:val="21"/>
              </w:rPr>
            </w:pPr>
            <w:r>
              <w:rPr>
                <w:rFonts w:ascii="Times New Roman" w:hAnsi="Times New Roman" w:cs="Times New Roman"/>
                <w:szCs w:val="21"/>
              </w:rPr>
              <w:t>2、茅尾海超标海域整治：（1）水产养殖废水整治。推进鱼（虾）塘标准化、生态化改造，加强养殖投入品管理。全面开展茅尾海沿岸养殖排水口排查监管整治，规范养殖尾水排放方式，严禁未经处理尾水直排入茅尾海。（2）茅尾海沿岸生活污水排放整治。完善镇级污水处理设施管网建设。加快推进沿海农村环境综合整治污水设施项目建设。（3）加强畜禽养殖监管，加大违规养殖整治力度。积极促进畜牧粪污资源化利用，规范养殖粪污排放方式，严禁直排污染。控制海鸭散养规模，推进规模化养殖场（小区）建设；控制海鸭养殖区域，限制河道内、海堤水门区域、红树林保护区的海鸭养殖活动。加大微生物技术在畜禽养殖行业的应用；推行养殖环境生态化和养殖设施标准化建设；推广种养结合、畜禽水产养殖结合的循环养殖模式。（4）养殖污染控制。转变渔业养殖模式，大力发展深海养殖。控制生蚝养殖密度，提高生蚝养殖技术，加强养殖水质预警。（5）茅尾海沿岸农业种植污染控制。转变农业发展方式。推广使用高效、低毒、低残留农药，推进作物病虫害绿色防控和统防统治融合发展。实行测土配方施肥。（6）茅尾海沿岸企业污染控制。持续开展“散乱污”企业整治。优化沿海产业布局，严格执行污染物排放标准，强化工业企业总氮和总磷等污染物负荷削减，实施污染物排放总量控制。加强工业集聚区污染治理和污染物排放控制。强化工业集聚区配套污水集中处理设施的管理和配套官网建设，确保处理设施稳定运行、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rPr>
                <w:rFonts w:ascii="Times New Roman" w:hAnsi="Times New Roman" w:cs="Times New Roman"/>
              </w:rPr>
            </w:pPr>
            <w:r>
              <w:rPr>
                <w:rFonts w:ascii="Times New Roman" w:hAnsi="Times New Roman" w:cs="Times New Roman"/>
              </w:rPr>
              <w:t>1、全面落实河长制、湾长制，加强入海排污口监管，建立长效管理机制，建立资源环境承载能力监测预警机制。</w:t>
            </w:r>
          </w:p>
          <w:p>
            <w:pPr>
              <w:rPr>
                <w:rFonts w:ascii="Times New Roman" w:hAnsi="Times New Roman" w:cs="Times New Roman"/>
              </w:rPr>
            </w:pPr>
            <w:r>
              <w:rPr>
                <w:rFonts w:ascii="Times New Roman" w:hAnsi="Times New Roman" w:cs="Times New Roman"/>
              </w:rPr>
              <w:t>2、加强海洋赤潮灾害监测、预警、应急处置能力的建设。</w:t>
            </w:r>
          </w:p>
          <w:p>
            <w:pPr>
              <w:snapToGrid w:val="0"/>
              <w:rPr>
                <w:rFonts w:ascii="Times New Roman" w:hAnsi="Times New Roman" w:cs="Times New Roman"/>
                <w:szCs w:val="21"/>
              </w:rPr>
            </w:pPr>
            <w:r>
              <w:rPr>
                <w:rFonts w:ascii="Times New Roman" w:hAnsi="Times New Roman" w:cs="Times New Roman"/>
              </w:rPr>
              <w:t>3、开展环境风险评估，加大船舶航行安全保障和港区风险防范力度。完善区域应急联动机制。探索建立健全沿海环境污染责任保险制度。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rPr>
              <w:t>保留海域后备空间资源，区域优先支持海洋可再生能源开发、科学研究、公益性项目及其他实验性用海活动。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HY45070020011</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茅尾海北部保留区（茅尾海北部海洋预留区）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1、兼容排洪泄洪功能。严格限制改变海域自然属性；严格控制近岸海域海砂开采的范围和规模，防止海岸侵蚀等海洋灾害的发生；不得影响防洪、泄洪安全。保障河道通畅。</w:t>
            </w:r>
          </w:p>
          <w:p>
            <w:pPr>
              <w:pStyle w:val="2"/>
              <w:rPr>
                <w:rFonts w:hint="default" w:ascii="Times New Roman" w:hAnsi="Times New Roman"/>
                <w:color w:val="auto"/>
              </w:rPr>
            </w:pPr>
            <w:r>
              <w:rPr>
                <w:rFonts w:hint="default" w:ascii="Times New Roman" w:hAnsi="Times New Roman" w:eastAsiaTheme="minorEastAsia"/>
                <w:color w:val="auto"/>
                <w:kern w:val="2"/>
                <w:sz w:val="21"/>
                <w:szCs w:val="24"/>
              </w:rPr>
              <w:t>2、严控新增围填海造地，完善围填海总量管控；除国家重大战略项目外，全面停止新增围填海项目审批。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1、加强区域环境质量监测、污染监测和检查工作，海域开发前基本保持所在海域环境质量现状水平。</w:t>
            </w:r>
          </w:p>
          <w:p>
            <w:pPr>
              <w:adjustRightInd w:val="0"/>
              <w:snapToGrid w:val="0"/>
              <w:rPr>
                <w:rFonts w:ascii="Times New Roman" w:hAnsi="Times New Roman" w:cs="Times New Roman"/>
                <w:szCs w:val="21"/>
              </w:rPr>
            </w:pPr>
            <w:r>
              <w:rPr>
                <w:rFonts w:ascii="Times New Roman" w:hAnsi="Times New Roman" w:cs="Times New Roman"/>
                <w:szCs w:val="21"/>
              </w:rPr>
              <w:t>2、茅尾海超标海域整治：（1）水产养殖废水整治。推进鱼（虾）塘标准化、生态化改造，加强养殖投入品管理。全面开展茅尾海沿岸养殖排水口排查监管整治，规范养殖尾水排放方式，严禁未经处理尾水直排入茅尾海。（2）茅尾海沿岸生活污水排放整治。完善镇级污水处理设施管网建设。加快推进沿海农村环境综合整治污水设施项目建设。（3）加强畜禽养殖监管，加大违规养殖整治力度。积极促进畜牧粪污资源化利用，规范养殖粪污排放方式，严禁直排污染。控制海鸭散养规模，推进规模化养殖场（小区）建设；控制海鸭养殖区域，限制河道内、海堤水门区域、红树林保护区的海鸭养殖活动。加大微生物技术在畜禽养殖行业的应用；推行养殖环境生态化和养殖设施标准化建设；推广种养结合、畜禽水产养殖结合的循环养殖模式。（4）养殖污染控制。转变渔业养殖模式，大力发展深海养殖。控制生蚝养殖密度，提高生蚝养殖技术，加强养殖水质预警。（5）茅尾海沿岸农业种植污染控制。转变农业发展方式。推广使用高效、低毒、低残留农药，推进作物病虫害绿色防控和统防统治融合发展。实行测土配方施肥。（6）茅尾海沿岸企业污染控制。持续开展“散乱污”企业整治。优化沿海产业布局，严格执行污染物排放标准，强化工业企业总氮和总磷等污染物负荷削减，实施污染物排放总量控制。加强工业集聚区污染治理和污染物排放控制。强化工业集聚区配套污水集中处理设施的管理和配套官网建设，确保处理设施稳定运行、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rPr>
                <w:rFonts w:ascii="Times New Roman" w:hAnsi="Times New Roman" w:cs="Times New Roman"/>
              </w:rPr>
            </w:pPr>
            <w:r>
              <w:rPr>
                <w:rFonts w:ascii="Times New Roman" w:hAnsi="Times New Roman" w:cs="Times New Roman"/>
              </w:rPr>
              <w:t>1、全面落实河长制、湾长制，加强入海排污口监管，建立长效管理机制，建立资源环境承载能力监测预警机制。</w:t>
            </w:r>
          </w:p>
          <w:p>
            <w:pPr>
              <w:rPr>
                <w:rFonts w:ascii="Times New Roman" w:hAnsi="Times New Roman" w:cs="Times New Roman"/>
              </w:rPr>
            </w:pPr>
            <w:r>
              <w:rPr>
                <w:rFonts w:ascii="Times New Roman" w:hAnsi="Times New Roman" w:cs="Times New Roman"/>
              </w:rPr>
              <w:t>2、加强海洋赤潮灾害监测、预警、应急处置能力的建设。</w:t>
            </w:r>
          </w:p>
          <w:p>
            <w:pPr>
              <w:snapToGrid w:val="0"/>
              <w:rPr>
                <w:rFonts w:ascii="Times New Roman" w:hAnsi="Times New Roman" w:cs="Times New Roman"/>
                <w:szCs w:val="21"/>
              </w:rPr>
            </w:pPr>
            <w:r>
              <w:rPr>
                <w:rFonts w:ascii="Times New Roman" w:hAnsi="Times New Roman" w:cs="Times New Roman"/>
              </w:rPr>
              <w:t>3、开展环境风险评估，加大船舶航行安全保障和港区风险防范力度。完善区域应急联动机制。探索建立健全沿海环境污染责任保险制度。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rPr>
              <w:t>保留海域后备空间资源，区域优先支持海洋可再生能源开发、科学研究、公益性项目及其他实验性用海活动。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HY45070020012</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茅尾海东岸工业与城镇用海区（茅尾海东岸工矿通信用海区）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引导海洋产业优化布局和集中适度规模开发，合理控制各类建设，用海规模，最大限度减少海域和海岸线资源消耗，提高资源利用效率。严控新增围填海造地，完善围填海总量管控；除国家重大战略项目外，全面停止新增围填海项目审批。</w:t>
            </w:r>
          </w:p>
          <w:p>
            <w:pPr>
              <w:adjustRightInd w:val="0"/>
              <w:snapToGrid w:val="0"/>
              <w:rPr>
                <w:rFonts w:ascii="Times New Roman" w:hAnsi="Times New Roman" w:cs="Times New Roman"/>
                <w:szCs w:val="21"/>
              </w:rPr>
            </w:pPr>
            <w:r>
              <w:rPr>
                <w:rFonts w:ascii="Times New Roman" w:hAnsi="Times New Roman" w:cs="Times New Roman"/>
                <w:szCs w:val="21"/>
              </w:rPr>
              <w:t>2、拟建项目应符合国家产业结构调整指导目录要求，重点支持鼓励类产业用海项目，严格限制非涉海产业用海项目，禁止高能耗、高污染产业用海项目。</w:t>
            </w:r>
          </w:p>
          <w:p>
            <w:pPr>
              <w:adjustRightInd w:val="0"/>
              <w:snapToGrid w:val="0"/>
              <w:rPr>
                <w:rFonts w:ascii="Times New Roman" w:hAnsi="Times New Roman" w:cs="Times New Roman"/>
                <w:szCs w:val="21"/>
              </w:rPr>
            </w:pPr>
            <w:r>
              <w:rPr>
                <w:rFonts w:ascii="Times New Roman" w:hAnsi="Times New Roman" w:cs="Times New Roman"/>
                <w:szCs w:val="21"/>
              </w:rPr>
              <w:t>3、禁止采取截湾取直方式形成人工岸线。注意建设区的排涝、防洪设计。</w:t>
            </w:r>
          </w:p>
          <w:p>
            <w:pPr>
              <w:adjustRightInd w:val="0"/>
              <w:snapToGrid w:val="0"/>
              <w:rPr>
                <w:rFonts w:ascii="Times New Roman" w:hAnsi="Times New Roman" w:cs="Times New Roman"/>
                <w:szCs w:val="21"/>
              </w:rPr>
            </w:pPr>
            <w:r>
              <w:rPr>
                <w:rFonts w:ascii="Times New Roman" w:hAnsi="Times New Roman" w:cs="Times New Roman"/>
                <w:szCs w:val="21"/>
              </w:rPr>
              <w:t>4、进行海域清淤与海岸生态建设与整治。保障茅尾海水动力和地形地貌基本稳定。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1、严格按照相关法律法规及海洋国土空间规划等要求，控制开发强度，规范设置和监管入海排污口，实施重点海域排污总量控制制度。</w:t>
            </w:r>
          </w:p>
          <w:p>
            <w:pPr>
              <w:adjustRightInd w:val="0"/>
              <w:snapToGrid w:val="0"/>
              <w:rPr>
                <w:rFonts w:ascii="Times New Roman" w:hAnsi="Times New Roman" w:cs="Times New Roman"/>
                <w:szCs w:val="21"/>
              </w:rPr>
            </w:pPr>
            <w:r>
              <w:rPr>
                <w:rFonts w:ascii="Times New Roman" w:hAnsi="Times New Roman" w:cs="Times New Roman"/>
                <w:szCs w:val="21"/>
              </w:rPr>
              <w:t>2、茅尾海超标海域整治：（1）水产养殖废水整治。推进鱼（虾）塘标准化、生态化改造，加强养殖投入品管理。全面开展茅尾海沿岸养殖排水口排查监管整治，规范养殖尾水排放方式，严禁未经处理尾水直排入茅尾海。（2）茅尾海沿岸生活污水排放整治。完善镇级污水处理设施管网建设。加快推进沿海农村环境综合整治污水设施项目建设。（3）加强畜禽养殖监管，加大违规养殖整治力度。积极促进畜牧粪污资源化利用，规范养殖粪污排放方式，严禁直排污染。控制海鸭散养规模，推进规模化养殖场（小区）建设；控制海鸭养殖区域，限制河道内、海堤水门区域、红树林保护区的海鸭养殖活动。加大微生物技术在畜禽养殖行业的应用；推行养殖环境生态化和养殖设施标准化建设；推广种养结合、畜禽水产养殖结合的循环养殖模式。（4）养殖污染控制。转变渔业养殖模式，大力发展深海养殖。控制生蚝养殖密度，提高生蚝养殖技术，加强养殖水质预警。（5）茅尾海沿岸农业种植污染控制。转变农业发展方式。推广使用高效、低毒、低残留农药，推进作物病虫害绿色防控和统防统治融合发展。实行测土配方施肥。（6）茅尾海沿岸企业污染控制。持续开展“散乱污”企业整治。优化沿海产业布局，严格执行污染物排放标准，强化工业企业总氮和总磷等污染物负荷削减，实施污染物排放总量控制。加强工业集聚区污染治理和污染物排放控制。强化工业集聚区配套污水集中处理设施的管理和配套官网建设，确保处理设施稳定运行、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1、严控油品和化学品运输的环境风险，加大船舶航行安全保障和风险防范力度。船舶装载运输油类或者有毒货物，应当采取防止溢流和渗漏的措施，防止货物落水造成水污染。</w:t>
            </w:r>
          </w:p>
          <w:p>
            <w:pPr>
              <w:snapToGrid w:val="0"/>
              <w:rPr>
                <w:rFonts w:ascii="Times New Roman" w:hAnsi="Times New Roman" w:cs="Times New Roman"/>
                <w:szCs w:val="21"/>
              </w:rPr>
            </w:pPr>
            <w:r>
              <w:rPr>
                <w:rFonts w:ascii="Times New Roman" w:hAnsi="Times New Roman" w:cs="Times New Roman"/>
                <w:szCs w:val="21"/>
              </w:rPr>
              <w:t>2、严格管控涉海重大工程环境风险，完善分类分级的海上应急监测及处置预案，在石化基地、危化品储存区等邻近海域部署快速监测能力和应急处置物资设备。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控制近岸海域开发强度和规模，逐步建立近岸海域资源利用的差别化管理制度体系。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HY45070020013</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茅尾海东岸旅游休闲娱乐区（茅尾海东岸游憩用海区）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1、海岸基本功能为旅游娱乐用海。合理控制旅游开发强度，完善旅游基础设施建设。限制破坏海岸地形、岸滩形态的活动。进行海域清淤与海岸环境修复。保护重要自然景观。</w:t>
            </w:r>
          </w:p>
          <w:p>
            <w:pPr>
              <w:snapToGrid w:val="0"/>
              <w:rPr>
                <w:rFonts w:ascii="Times New Roman" w:hAnsi="Times New Roman" w:cs="Times New Roman"/>
              </w:rPr>
            </w:pPr>
            <w:r>
              <w:rPr>
                <w:rFonts w:ascii="Times New Roman" w:hAnsi="Times New Roman" w:cs="Times New Roman"/>
              </w:rPr>
              <w:t>2、严控新增围填海造地，完善围填海总量管控；除国家重大战略项目外，全面停止新增围填海项目审批。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1、严格实行污水达标排放和生活垃圾科学处置</w:t>
            </w:r>
            <w:r>
              <w:rPr>
                <w:rFonts w:ascii="Times New Roman" w:hAnsi="Times New Roman" w:cs="Times New Roman"/>
              </w:rPr>
              <w:t>，禁止直接排海，加强定期海域水质监测</w:t>
            </w:r>
            <w:r>
              <w:rPr>
                <w:rFonts w:ascii="Times New Roman" w:hAnsi="Times New Roman" w:cs="Times New Roman"/>
                <w:szCs w:val="21"/>
              </w:rPr>
              <w:t>。</w:t>
            </w:r>
          </w:p>
          <w:p>
            <w:pPr>
              <w:adjustRightInd w:val="0"/>
              <w:snapToGrid w:val="0"/>
              <w:rPr>
                <w:rFonts w:ascii="Times New Roman" w:hAnsi="Times New Roman" w:cs="Times New Roman"/>
                <w:szCs w:val="21"/>
              </w:rPr>
            </w:pPr>
            <w:r>
              <w:rPr>
                <w:rFonts w:ascii="Times New Roman" w:hAnsi="Times New Roman" w:cs="Times New Roman"/>
                <w:szCs w:val="21"/>
              </w:rPr>
              <w:t>2、船舶排放含油污水、生活污水，应当符合船舶污染物排放标准。从事海洋航运的船舶进入内河和港口的，应当遵守内河的船舶污染物排放标准。船舶的残油、废油应当回收，禁止排入水体。禁止向水体倾倒船舶垃圾。航行于广西水域的国际航线船舶，实施压载水交换、安装压载水灭活处理系统或者采取其他等效措施，对压载水进行灭活等处理。禁止排放不符合规定的船舶压载水。</w:t>
            </w:r>
          </w:p>
          <w:p>
            <w:pPr>
              <w:adjustRightInd w:val="0"/>
              <w:snapToGrid w:val="0"/>
              <w:rPr>
                <w:rFonts w:ascii="Times New Roman" w:hAnsi="Times New Roman" w:cs="Times New Roman"/>
                <w:szCs w:val="21"/>
              </w:rPr>
            </w:pPr>
            <w:r>
              <w:rPr>
                <w:rFonts w:ascii="Times New Roman" w:hAnsi="Times New Roman" w:cs="Times New Roman"/>
                <w:szCs w:val="21"/>
              </w:rPr>
              <w:t>3、茅尾海超标海域整治：（1）水产养殖废水整治。推进鱼（虾）塘标准化、生态化改造，加强养殖投入品管理。全面开展茅尾海沿岸养殖排水口排查监管整治，规范养殖尾水排放方式，严禁未经处理尾水直排入茅尾海。（2）茅尾海沿岸生活污水排放整治。完善镇级污水处理设施管网建设。加快推进沿海农村环境综合整治污水设施项目建设。（3）加强畜禽养殖监管，加大违规养殖整治力度。积极促进畜牧粪污资源化利用，规范养殖粪污排放方式，严禁直排污染。控制海鸭散养规模，推进规模化养殖场（小区）建设；控制海鸭养殖区域，限制河道内、海堤水门区域、红树林保护区的海鸭养殖活动。加大微生物技术在畜禽养殖行业的应用；推行养殖环境生态化和养殖设施标准化建设；推广种养结合、畜禽水产养殖结合的循环养殖模式。（4）养殖污染控制。转变渔业养殖模式，大力发展深海养殖。控制生蚝养殖密度，提高生蚝养殖技术，加强养殖水质预警。（5）茅尾海沿岸农业种植污染控制。转变农业发展方式。推广使用高效、低毒、低残留农药，推进作物病虫害绿色防控和统防统治融合发展。实行测土配方施肥。（6）茅尾海沿岸企业污染控制。持续开展“散乱污”企业整治。优化沿海产业布局，严格执行污染物排放标准，强化工业企业总氮和总磷等污染物负荷削减，实施污染物排放总量控制。加强工业集聚区污染治理和污染物排放控制。强化工业集聚区配套污水集中处理设施的管理和配套官网建设，确保处理设施稳定运行、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1、全面落实河长制、湾长制，加强入海排污口监管，建立长效管理机制，建立资源环境承载能力监测预警机制。</w:t>
            </w:r>
          </w:p>
          <w:p>
            <w:pPr>
              <w:adjustRightInd w:val="0"/>
              <w:snapToGrid w:val="0"/>
              <w:rPr>
                <w:rFonts w:ascii="Times New Roman" w:hAnsi="Times New Roman" w:cs="Times New Roman"/>
                <w:szCs w:val="21"/>
              </w:rPr>
            </w:pPr>
            <w:r>
              <w:rPr>
                <w:rFonts w:ascii="Times New Roman" w:hAnsi="Times New Roman" w:cs="Times New Roman"/>
                <w:szCs w:val="21"/>
              </w:rPr>
              <w:t>2、加强海洋赤潮灾害监测、预警、应急处置能力的建设。</w:t>
            </w:r>
          </w:p>
          <w:p>
            <w:pPr>
              <w:adjustRightInd w:val="0"/>
              <w:snapToGrid w:val="0"/>
              <w:rPr>
                <w:rFonts w:ascii="Times New Roman" w:hAnsi="Times New Roman" w:cs="Times New Roman"/>
                <w:szCs w:val="21"/>
              </w:rPr>
            </w:pPr>
            <w:r>
              <w:rPr>
                <w:rFonts w:ascii="Times New Roman" w:hAnsi="Times New Roman" w:cs="Times New Roman"/>
                <w:szCs w:val="21"/>
              </w:rPr>
              <w:t>3、开展环境风险评估，加大船舶航行安全保障和港区风险防范力度。完善区域应急联动机制。探索建立健全沿海环境污染责任保险制度。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rPr>
              <w:t>根据资源环境承载能力，合理控制旅游开发强度，科学有序发展岸线、岸滩。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HY45070020014</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茅尾海东部农渔业区（茅尾海东部渔业用海区）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1、海岸基本功能为渔业用海，兼顾旅游娱乐功能。禁止改变海域自然属性；</w:t>
            </w:r>
            <w:r>
              <w:rPr>
                <w:rFonts w:ascii="Times New Roman" w:hAnsi="Times New Roman" w:cs="Times New Roman"/>
              </w:rPr>
              <w:t>合理调整养殖布局，</w:t>
            </w:r>
            <w:r>
              <w:rPr>
                <w:rFonts w:ascii="Times New Roman" w:hAnsi="Times New Roman" w:cs="Times New Roman"/>
                <w:szCs w:val="21"/>
              </w:rPr>
              <w:t>按照养殖容量控制养殖规模和养殖密度；引进生态养殖技术，逐步开发休闲渔业；不得影响防洪、泄洪安全。</w:t>
            </w:r>
          </w:p>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2、采取清淤、疏浚方式清理影响纳潮量的养殖活动，推进茅尾海海域综合整治。维护航道和渔业生态环境稳定。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w:t>
            </w:r>
            <w:r>
              <w:rPr>
                <w:rFonts w:ascii="Times New Roman" w:hAnsi="Times New Roman" w:eastAsia="宋体" w:cs="Times New Roman"/>
                <w:szCs w:val="21"/>
                <w:shd w:val="clear" w:color="auto" w:fill="FFFFFF"/>
              </w:rPr>
              <w:t>从事养殖生产不得使用含有毒有害物质的饵料、饲料。科学确定养殖密度，合理投饵、施肥、使用药物，</w:t>
            </w:r>
            <w:r>
              <w:rPr>
                <w:rFonts w:ascii="Times New Roman" w:hAnsi="Times New Roman" w:cs="Times New Roman"/>
                <w:szCs w:val="21"/>
                <w:shd w:val="clear" w:color="auto" w:fill="FFFFFF"/>
              </w:rPr>
              <w:t>养殖排放水应符合相关规定，</w:t>
            </w:r>
            <w:r>
              <w:rPr>
                <w:rFonts w:ascii="Times New Roman" w:hAnsi="Times New Roman" w:eastAsia="宋体" w:cs="Times New Roman"/>
                <w:szCs w:val="21"/>
                <w:shd w:val="clear" w:color="auto" w:fill="FFFFFF"/>
              </w:rPr>
              <w:t>不得造成水域的环境污染。</w:t>
            </w:r>
          </w:p>
          <w:p>
            <w:pPr>
              <w:adjustRightInd w:val="0"/>
              <w:snapToGrid w:val="0"/>
              <w:rPr>
                <w:rFonts w:ascii="Times New Roman" w:hAnsi="Times New Roman" w:cs="Times New Roman"/>
                <w:szCs w:val="21"/>
              </w:rPr>
            </w:pPr>
            <w:r>
              <w:rPr>
                <w:rFonts w:ascii="Times New Roman" w:hAnsi="Times New Roman" w:cs="Times New Roman"/>
                <w:szCs w:val="21"/>
              </w:rPr>
              <w:t>2、船舶排放含油污水、生活污水，应当符合船舶污染物排放标准。从事海洋航运的船舶进入内河和港口的，应当遵守内河的船舶污染物排放标准。船舶的残油、废油应当回收，禁止排入水体。禁止向水体倾倒船舶垃圾。航行于广西水域的国际航线船舶，实施压载水交换、安装压载水灭活处理系统或者采取其他等效措施，对压载水进行灭活等处理。禁止排放不符合规定的船舶压载水。</w:t>
            </w:r>
          </w:p>
          <w:p>
            <w:pPr>
              <w:adjustRightInd w:val="0"/>
              <w:snapToGrid w:val="0"/>
              <w:rPr>
                <w:rFonts w:ascii="Times New Roman" w:hAnsi="Times New Roman" w:cs="Times New Roman"/>
                <w:szCs w:val="21"/>
              </w:rPr>
            </w:pPr>
            <w:r>
              <w:rPr>
                <w:rFonts w:ascii="Times New Roman" w:hAnsi="Times New Roman" w:cs="Times New Roman"/>
                <w:szCs w:val="21"/>
              </w:rPr>
              <w:t>3、茅尾海超标海域整治：（1）水产养殖废水整治。推进鱼（虾）塘标准化、生态化改造，加强养殖投入品管理。全面开展茅尾海沿岸养殖排水口排查监管整治，规范养殖尾水排放方式，严禁未经处理尾水直排入茅尾海。（2）茅尾海沿岸生活污水排放整治。完善镇级污水处理设施管网建设。加快推进沿海农村环境综合整治污水设施项目建设。（3）加强畜禽养殖监管，加大违规养殖整治力度。积极促进畜牧粪污资源化利用，规范养殖粪污排放方式，严禁直排污染。控制海鸭散养规模，推进规模化养殖场（小区）建设；控制海鸭养殖区域，限制河道内、海堤水门区域、红树林保护区的海鸭养殖活动。加大微生物技术在畜禽养殖行业的应用；推行养殖环境生态化和养殖设施标准化建设；推广种养结合、畜禽水产养殖结合的循环养殖模式。（4）养殖污染控制。转变渔业养殖模式，大力发展深海养殖。控制生蚝养殖密度，提高生蚝养殖技术，加强养殖水质预警。（5）茅尾海沿岸农业种植污染控制。转变农业发展方式。推广使用高效、低毒、低残留农药，推进作物病虫害绿色防控和统防统治融合发展。实行测土配方施肥。（6）茅尾海沿岸企业污染控制。持续开展“散乱污”企业整治。优化沿海产业布局，严格执行污染物排放标准，强化工业企业总氮和总磷等污染物负荷削减，实施污染物排放总量控制。加强工业集聚区污染治理和污染物排放控制。强化工业集聚区配套污水集中处理设施的管理和配套官网建设，确保处理设施稳定运行、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pStyle w:val="31"/>
              <w:rPr>
                <w:rFonts w:eastAsiaTheme="minorEastAsia"/>
              </w:rPr>
            </w:pPr>
            <w:r>
              <w:rPr>
                <w:rFonts w:eastAsiaTheme="minorEastAsia"/>
              </w:rPr>
              <w:t>1、强化海水养殖污染属地监管职责，落实生产经营者养殖污染主体责任。</w:t>
            </w:r>
          </w:p>
          <w:p>
            <w:pPr>
              <w:pStyle w:val="31"/>
              <w:rPr>
                <w:rFonts w:eastAsiaTheme="minorEastAsia"/>
              </w:rPr>
            </w:pPr>
            <w:r>
              <w:rPr>
                <w:rFonts w:eastAsiaTheme="minorEastAsia"/>
              </w:rPr>
              <w:t>2、全面落实河长制、湾长制，加强入海排污口监管，建立资源环境承载能力监测预警机制。</w:t>
            </w:r>
          </w:p>
          <w:p>
            <w:pPr>
              <w:pStyle w:val="31"/>
              <w:rPr>
                <w:rFonts w:eastAsiaTheme="minorEastAsia"/>
              </w:rPr>
            </w:pPr>
            <w:r>
              <w:rPr>
                <w:rFonts w:eastAsiaTheme="minorEastAsia"/>
              </w:rPr>
              <w:t>3、加强海洋赤潮灾害监测、预警、应急处置能力的建设。</w:t>
            </w:r>
          </w:p>
          <w:p>
            <w:pPr>
              <w:pStyle w:val="31"/>
            </w:pPr>
            <w:r>
              <w:rPr>
                <w:rFonts w:eastAsiaTheme="minorEastAsia"/>
              </w:rPr>
              <w:t>4、完善区域应急联动机制。探索建立健全沿海环境污染责任保险制度。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pStyle w:val="31"/>
            </w:pPr>
            <w:r>
              <w:rPr>
                <w:rFonts w:eastAsiaTheme="minorEastAsia"/>
              </w:rPr>
              <w:t>突出节约集约用海原则，合理控制养殖规模，提高海域空间资源的整体使用效能。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HY45070020015</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茅尾海农渔业区（茅尾海渔业用海区）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numPr>
                <w:ilvl w:val="0"/>
                <w:numId w:val="8"/>
              </w:numPr>
              <w:adjustRightInd w:val="0"/>
              <w:snapToGrid w:val="0"/>
              <w:rPr>
                <w:rFonts w:ascii="Times New Roman" w:hAnsi="Times New Roman" w:cs="Times New Roman"/>
                <w:szCs w:val="21"/>
              </w:rPr>
            </w:pPr>
            <w:r>
              <w:rPr>
                <w:rFonts w:ascii="Times New Roman" w:hAnsi="Times New Roman" w:cs="Times New Roman"/>
                <w:szCs w:val="21"/>
              </w:rPr>
              <w:t>海岸基本功能为渔业用海，保护牡蛎资源，兼顾旅游娱乐功能。禁止改变海域自然属性。</w:t>
            </w:r>
            <w:r>
              <w:rPr>
                <w:rFonts w:ascii="Times New Roman" w:hAnsi="Times New Roman" w:cs="Times New Roman"/>
              </w:rPr>
              <w:t>合理调整养殖布局，</w:t>
            </w:r>
            <w:r>
              <w:rPr>
                <w:rFonts w:ascii="Times New Roman" w:hAnsi="Times New Roman" w:cs="Times New Roman"/>
                <w:szCs w:val="21"/>
              </w:rPr>
              <w:t>按照养殖容量控制养殖规模和养殖密度。引进生态养殖技术，逐步开发休闲渔业。</w:t>
            </w:r>
          </w:p>
          <w:p>
            <w:pPr>
              <w:numPr>
                <w:ilvl w:val="0"/>
                <w:numId w:val="8"/>
              </w:numPr>
              <w:adjustRightInd w:val="0"/>
              <w:snapToGrid w:val="0"/>
              <w:rPr>
                <w:rFonts w:ascii="Times New Roman" w:hAnsi="Times New Roman" w:cs="Times New Roman"/>
                <w:szCs w:val="21"/>
              </w:rPr>
            </w:pPr>
            <w:r>
              <w:rPr>
                <w:rFonts w:ascii="Times New Roman" w:hAnsi="Times New Roman" w:cs="Times New Roman"/>
                <w:szCs w:val="21"/>
              </w:rPr>
              <w:t>在充分论证的基础上可以采砂。不得影响防洪、泄洪安全。采取清淤、采砂方式，清理影响纳潮量的不科学的养殖方式等，推进茅尾海海域的综合整治。保护海岸景观和湿地景观，维持茅尾海水动力和航道通畅。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w:t>
            </w:r>
            <w:r>
              <w:rPr>
                <w:rFonts w:ascii="Times New Roman" w:hAnsi="Times New Roman" w:eastAsia="宋体" w:cs="Times New Roman"/>
                <w:szCs w:val="21"/>
                <w:shd w:val="clear" w:color="auto" w:fill="FFFFFF"/>
              </w:rPr>
              <w:t>从事养殖生产不得使用含有毒有害物质的饵料、饲料。科学确定养殖密度，合理投饵、施肥、使用药物，</w:t>
            </w:r>
            <w:r>
              <w:rPr>
                <w:rFonts w:ascii="Times New Roman" w:hAnsi="Times New Roman" w:cs="Times New Roman"/>
                <w:szCs w:val="21"/>
                <w:shd w:val="clear" w:color="auto" w:fill="FFFFFF"/>
              </w:rPr>
              <w:t>养殖排放水应符合相关规定，</w:t>
            </w:r>
            <w:r>
              <w:rPr>
                <w:rFonts w:ascii="Times New Roman" w:hAnsi="Times New Roman" w:eastAsia="宋体" w:cs="Times New Roman"/>
                <w:szCs w:val="21"/>
                <w:shd w:val="clear" w:color="auto" w:fill="FFFFFF"/>
              </w:rPr>
              <w:t>不得造成水域的环境污染。</w:t>
            </w:r>
          </w:p>
          <w:p>
            <w:pPr>
              <w:adjustRightInd w:val="0"/>
              <w:snapToGrid w:val="0"/>
              <w:rPr>
                <w:rFonts w:ascii="Times New Roman" w:hAnsi="Times New Roman" w:cs="Times New Roman"/>
                <w:szCs w:val="21"/>
              </w:rPr>
            </w:pPr>
            <w:r>
              <w:rPr>
                <w:rFonts w:ascii="Times New Roman" w:hAnsi="Times New Roman" w:cs="Times New Roman"/>
                <w:szCs w:val="21"/>
              </w:rPr>
              <w:t>2、船舶排放含油污水、生活污水，应当符合船舶污染物排放标准。从事海洋航运的船舶进入内河和港口的，应当遵守内河的船舶污染物排放标准。船舶的残油、废油应当回收，禁止排入水体。禁止向水体倾倒船舶垃圾。航行于广西水域的国际航线船舶，实施压载水交换、安装压载水灭活处理系统或者采取其他等效措施，对压载水进行灭活等处理。禁止排放不符合规定的船舶压载水。</w:t>
            </w:r>
          </w:p>
          <w:p>
            <w:pPr>
              <w:adjustRightInd w:val="0"/>
              <w:snapToGrid w:val="0"/>
              <w:rPr>
                <w:rFonts w:ascii="Times New Roman" w:hAnsi="Times New Roman" w:cs="Times New Roman"/>
                <w:szCs w:val="21"/>
              </w:rPr>
            </w:pPr>
            <w:r>
              <w:rPr>
                <w:rFonts w:ascii="Times New Roman" w:hAnsi="Times New Roman" w:cs="Times New Roman"/>
                <w:szCs w:val="21"/>
              </w:rPr>
              <w:t>3、茅尾海超标海域整治：（1）水产养殖废水整治。推进鱼（虾）塘标准化、生态化改造，加强养殖投入品管理。全面开展茅尾海沿岸养殖排水口排查监管整治，规范养殖尾水排放方式，严禁未经处理尾水直排入茅尾海。（2）茅尾海沿岸生活污水排放整治。完善镇级污水处理设施管网建设。加快推进沿海农村环境综合整治污水设施项目建设。（3）加强畜禽养殖监管，加大违规养殖整治力度。积极促进畜牧粪污资源化利用，规范养殖粪污排放方式，严禁直排污染。控制海鸭散养规模，推进规模化养殖场（小区）建设；控制海鸭养殖区域，限制河道内、海堤水门区域、红树林保护区的海鸭养殖活动。加大微生物技术在畜禽养殖行业的应用；推行养殖环境生态化和养殖设施标准化建设；推广种养结合、畜禽水产养殖结合的循环养殖模式。（4）养殖污染控制。转变渔业养殖模式，大力发展深海养殖。控制生蚝养殖密度，提高生蚝养殖技术，加强养殖水质预警。（5）茅尾海沿岸农业种植污染控制。转变农业发展方式。推广使用高效、低毒、低残留农药，推进作物病虫害绿色防控和统防统治融合发展。实行测土配方施肥。（6）茅尾海沿岸企业污染控制。持续开展“散乱污”企业整治。优化沿海产业布局，严格执行污染物排放标准，强化工业企业总氮和总磷等污染物负荷削减，实施污染物排放总量控制。加强工业集聚区污染治理和污染物排放控制。强化工业集聚区配套污水集中处理设施的管理和配套官网建设，确保处理设施稳定运行、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pStyle w:val="31"/>
              <w:rPr>
                <w:rFonts w:eastAsiaTheme="minorEastAsia"/>
              </w:rPr>
            </w:pPr>
            <w:r>
              <w:rPr>
                <w:rFonts w:eastAsiaTheme="minorEastAsia"/>
              </w:rPr>
              <w:t>1、强化海水养殖污染属地监管职责，落实生产经营者养殖污染主体责任。</w:t>
            </w:r>
          </w:p>
          <w:p>
            <w:pPr>
              <w:pStyle w:val="31"/>
              <w:rPr>
                <w:rFonts w:eastAsiaTheme="minorEastAsia"/>
              </w:rPr>
            </w:pPr>
            <w:r>
              <w:rPr>
                <w:rFonts w:eastAsiaTheme="minorEastAsia"/>
              </w:rPr>
              <w:t>2、全面落实河长制、湾长制，加强入海排污口监管，建立资源环境承载能力监测预警机制。</w:t>
            </w:r>
          </w:p>
          <w:p>
            <w:pPr>
              <w:pStyle w:val="31"/>
              <w:rPr>
                <w:rFonts w:eastAsiaTheme="minorEastAsia"/>
              </w:rPr>
            </w:pPr>
            <w:r>
              <w:rPr>
                <w:rFonts w:eastAsiaTheme="minorEastAsia"/>
              </w:rPr>
              <w:t>3、加强海洋赤潮灾害监测、预警、应急处置能力的建设。</w:t>
            </w:r>
          </w:p>
          <w:p>
            <w:pPr>
              <w:pStyle w:val="31"/>
            </w:pPr>
            <w:r>
              <w:rPr>
                <w:rFonts w:eastAsiaTheme="minorEastAsia"/>
              </w:rPr>
              <w:t>4、完善区域应急联动机制。探索建立健全沿海环境污染责任保险制度。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pStyle w:val="31"/>
            </w:pPr>
            <w:r>
              <w:rPr>
                <w:rFonts w:eastAsiaTheme="minorEastAsia"/>
              </w:rPr>
              <w:t>突出节约集约用海原则，合理控制养殖规模，提高海域空间资源的整体使用效能。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HY45070020016</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七十二泾旅游休闲娱乐区（七十二泾游憩用海区）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1、利用海岛优势，建成及自然景观和人文景观于一体的滨海型旅游区。允许适度改变海域自然属性。</w:t>
            </w:r>
          </w:p>
          <w:p>
            <w:pPr>
              <w:adjustRightInd w:val="0"/>
              <w:snapToGrid w:val="0"/>
              <w:rPr>
                <w:rFonts w:ascii="Times New Roman" w:hAnsi="Times New Roman" w:cs="Times New Roman"/>
                <w:szCs w:val="21"/>
              </w:rPr>
            </w:pPr>
            <w:r>
              <w:rPr>
                <w:rFonts w:ascii="Times New Roman" w:hAnsi="Times New Roman" w:cs="Times New Roman"/>
                <w:szCs w:val="21"/>
              </w:rPr>
              <w:t>2、合理控制旅游开发强度，完善旅游基础设施建设，严格控制填海连岛。加强海岛和海岸整治修复。保护海岛旅游景观。保持重要自然景观和人文景观的完整性和延伸性。</w:t>
            </w:r>
          </w:p>
          <w:p>
            <w:pPr>
              <w:adjustRightInd w:val="0"/>
              <w:snapToGrid w:val="0"/>
              <w:rPr>
                <w:rFonts w:ascii="Times New Roman" w:hAnsi="Times New Roman" w:cs="Times New Roman"/>
                <w:szCs w:val="21"/>
              </w:rPr>
            </w:pPr>
            <w:r>
              <w:rPr>
                <w:rFonts w:ascii="Times New Roman" w:hAnsi="Times New Roman" w:cs="Times New Roman"/>
              </w:rPr>
              <w:t>3、严控新增围填海造地，完善围填海总量管控；除国家重大战略项目外，全面停止新增围填海项目审批。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1、严格实行污水达标排放和生活垃圾科学处置</w:t>
            </w:r>
            <w:r>
              <w:rPr>
                <w:rFonts w:ascii="Times New Roman" w:hAnsi="Times New Roman" w:cs="Times New Roman"/>
              </w:rPr>
              <w:t>，禁止直接排海，加强定期海域水质监测</w:t>
            </w:r>
            <w:r>
              <w:rPr>
                <w:rFonts w:ascii="Times New Roman" w:hAnsi="Times New Roman" w:cs="Times New Roman"/>
                <w:szCs w:val="21"/>
              </w:rPr>
              <w:t>。</w:t>
            </w:r>
          </w:p>
          <w:p>
            <w:pPr>
              <w:adjustRightInd w:val="0"/>
              <w:snapToGrid w:val="0"/>
              <w:rPr>
                <w:rFonts w:ascii="Times New Roman" w:hAnsi="Times New Roman" w:cs="Times New Roman"/>
                <w:szCs w:val="21"/>
              </w:rPr>
            </w:pPr>
            <w:r>
              <w:rPr>
                <w:rFonts w:ascii="Times New Roman" w:hAnsi="Times New Roman" w:cs="Times New Roman"/>
                <w:szCs w:val="21"/>
              </w:rPr>
              <w:t>2、茅尾海超标海域整治：（1）水产养殖废水整治。推进鱼（虾）塘标准化、生态化改造，加强养殖投入品管理。全面开展茅尾海沿岸养殖排水口排查监管整治，规范养殖尾水排放方式，严禁未经处理尾水直排入茅尾海。（2）茅尾海沿岸生活污水排放整治。完善镇级污水处理设施管网建设。加快推进沿海农村环境综合整治污水设施项目建设。（3）加强畜禽养殖监管，加大违规养殖整治力度。积极促进畜牧粪污资源化利用，规范养殖粪污排放方式，严禁直排污染。控制海鸭散养规模，推进规模化养殖场（小区）建设；控制海鸭养殖区域，限制河道内、海堤水门区域、红树林保护区的海鸭养殖活动。加大微生物技术在畜禽养殖行业的应用；推行养殖环境生态化和养殖设施标准化建设；推广种养结合、畜禽水产养殖结合的循环养殖模式。（4）养殖污染控制。转变渔业养殖模式，大力发展深海养殖。控制生蚝养殖密度，提高生蚝养殖技术，加强养殖水质预警。（5）茅尾海沿岸农业种植污染控制。转变农业发展方式。推广使用高效、低毒、低残留农药，推进作物病虫害绿色防控和统防统治融合发展。实行测土配方施肥。（6）茅尾海沿岸企业污染控制。持续开展“散乱污”企业整治。优化沿海产业布局，严格执行污染物排放标准，强化工业企业总氮和总磷等污染物负荷削减，实施污染物排放总量控制。加强工业集聚区污染治理和污染物排放控制。强化工业集聚区配套污水集中处理设施的管理和配套官网建设，确保处理设施稳定运行、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1、全面落实河长制、湾长制，加强入海排污口监管，建立长效管理机制，建立资源环境承载能力监测预警机制。</w:t>
            </w:r>
          </w:p>
          <w:p>
            <w:pPr>
              <w:adjustRightInd w:val="0"/>
              <w:snapToGrid w:val="0"/>
              <w:rPr>
                <w:rFonts w:ascii="Times New Roman" w:hAnsi="Times New Roman" w:cs="Times New Roman"/>
                <w:szCs w:val="21"/>
              </w:rPr>
            </w:pPr>
            <w:r>
              <w:rPr>
                <w:rFonts w:ascii="Times New Roman" w:hAnsi="Times New Roman" w:cs="Times New Roman"/>
                <w:szCs w:val="21"/>
              </w:rPr>
              <w:t>2、加强海洋赤潮灾害监测、预警、应急处置能力的建设。</w:t>
            </w:r>
          </w:p>
          <w:p>
            <w:pPr>
              <w:adjustRightInd w:val="0"/>
              <w:snapToGrid w:val="0"/>
              <w:rPr>
                <w:rFonts w:ascii="Times New Roman" w:hAnsi="Times New Roman" w:cs="Times New Roman"/>
                <w:szCs w:val="21"/>
              </w:rPr>
            </w:pPr>
            <w:r>
              <w:rPr>
                <w:rFonts w:ascii="Times New Roman" w:hAnsi="Times New Roman" w:cs="Times New Roman"/>
                <w:szCs w:val="21"/>
              </w:rPr>
              <w:t>3、开展环境风险评估，加大船舶航行安全保障和港区风险防范力度。完善区域应急联动机制。探索建立健全沿海环境污染责任保险制度。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rPr>
              <w:t>根据资源环境承载能力，合理控制旅游开发强度，科学有序发展岸线、岸滩。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HY45070020017</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钦州港30万吨级进港航道疏浚工程疏浚物临时性海洋倾倒区（钦州港30万吨级进港航道疏浚工程疏浚物临时性特殊用海区）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依据《中华人民共和国海洋环境保护法》《中华人民共和国海洋倾废管理条例》进行管理。获准倾倒废弃物的单位，必须按照许可证注明的期限及条件，到指定的区域进行倾倒；废弃物装载之后，批准部门应当予以核实；获准倾倒废弃物的单位，应当详细记录倾倒的情况，并在倾倒后向批准部门作出书面报告；倾倒废弃物的船舶必须向驶出港的海事行政主管部门作出书面报告；当发现倾倒区不宜继续倾倒时，主管部门可决定予以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eastAsia="宋体" w:cs="Times New Roman"/>
                <w:kern w:val="0"/>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禁止在海上焚烧废弃物；禁止在海上处置放射性废弃物或者其他放射性物质。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eastAsia="宋体" w:cs="Times New Roman"/>
                <w:kern w:val="0"/>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主管部门应对海洋倾倒活动进行监视和监督，定期进行监测，加强管理，避免对渔业资源和其他海上活动造成有害影响。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HY45070020018</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钦州港大榄坪污水深海排放区（钦州港大榄坪特殊用海区）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numPr>
                <w:ilvl w:val="255"/>
                <w:numId w:val="0"/>
              </w:numPr>
              <w:rPr>
                <w:rFonts w:eastAsiaTheme="minorEastAsia"/>
              </w:rPr>
            </w:pPr>
            <w:r>
              <w:rPr>
                <w:rFonts w:eastAsiaTheme="minorEastAsia"/>
                <w:kern w:val="0"/>
              </w:rPr>
              <w:t>1、</w:t>
            </w:r>
            <w:r>
              <w:rPr>
                <w:rFonts w:eastAsiaTheme="minorEastAsia"/>
              </w:rPr>
              <w:t>严格按照相关法律法规、海洋国土空间规划以及海水动力条件等要求，经科学论证后，规范设置和监管入海排污口，并报设区的市级以上人民政府生态环境行政主管部门备案。</w:t>
            </w:r>
          </w:p>
          <w:p>
            <w:pPr>
              <w:adjustRightInd w:val="0"/>
              <w:snapToGrid w:val="0"/>
              <w:rPr>
                <w:rFonts w:ascii="Times New Roman" w:hAnsi="Times New Roman" w:cs="Times New Roman"/>
                <w:szCs w:val="21"/>
              </w:rPr>
            </w:pPr>
            <w:r>
              <w:rPr>
                <w:rFonts w:ascii="Times New Roman" w:hAnsi="Times New Roman" w:cs="Times New Roman"/>
                <w:szCs w:val="21"/>
              </w:rPr>
              <w:t>2、</w:t>
            </w:r>
            <w:r>
              <w:rPr>
                <w:rFonts w:ascii="Times New Roman" w:hAnsi="Times New Roman" w:eastAsia="宋体" w:cs="Times New Roman"/>
                <w:szCs w:val="21"/>
              </w:rPr>
              <w:t>加快推进深海排放基础设施建设，实行离岸排放。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pStyle w:val="31"/>
              <w:numPr>
                <w:ilvl w:val="255"/>
                <w:numId w:val="0"/>
              </w:numPr>
              <w:rPr>
                <w:rFonts w:eastAsiaTheme="minorEastAsia"/>
              </w:rPr>
            </w:pPr>
            <w:r>
              <w:rPr>
                <w:rFonts w:eastAsiaTheme="minorEastAsia"/>
              </w:rPr>
              <w:t>1、入海排污口各类污染物排放须符合国家、省、市以及相关行业的污染物排放标准及主要污染物总量控制指标，同时满足海洋国土空间规划的管理要求。</w:t>
            </w:r>
          </w:p>
          <w:p>
            <w:pPr>
              <w:pStyle w:val="31"/>
              <w:numPr>
                <w:ilvl w:val="255"/>
                <w:numId w:val="0"/>
              </w:numPr>
              <w:rPr>
                <w:rFonts w:eastAsiaTheme="minorEastAsia"/>
              </w:rPr>
            </w:pPr>
            <w:r>
              <w:rPr>
                <w:rFonts w:eastAsiaTheme="minorEastAsia"/>
              </w:rPr>
              <w:t>2、禁止向海域排放油类、酸液、碱液、剧毒废液和高、中水平放射性废水，严格控制向海域排放含有不易降解的有机物和重金属的废水，排放低水平放射性废水应当符合国家放射性污染防治标准，其他污染物的排放应当符合国家或者地方标准。</w:t>
            </w:r>
          </w:p>
          <w:p>
            <w:pPr>
              <w:pStyle w:val="31"/>
              <w:numPr>
                <w:ilvl w:val="255"/>
                <w:numId w:val="0"/>
              </w:numPr>
              <w:rPr>
                <w:rFonts w:eastAsiaTheme="minorEastAsia"/>
              </w:rPr>
            </w:pPr>
            <w:r>
              <w:rPr>
                <w:rFonts w:eastAsiaTheme="minorEastAsia"/>
              </w:rPr>
              <w:t>3、含病原体的医疗污水、生活污水和工业废水必须经过处理，符合国家有关排放标准后，方能排入海域。</w:t>
            </w:r>
          </w:p>
          <w:p>
            <w:pPr>
              <w:pStyle w:val="31"/>
              <w:numPr>
                <w:ilvl w:val="255"/>
                <w:numId w:val="0"/>
              </w:numPr>
              <w:rPr>
                <w:rFonts w:eastAsiaTheme="minorEastAsia"/>
              </w:rPr>
            </w:pPr>
            <w:r>
              <w:rPr>
                <w:rFonts w:eastAsiaTheme="minorEastAsia"/>
              </w:rPr>
              <w:t>4、含有机物和营养物质的工业废水、生活污水，应当严格控制向海湾、半封闭海及其他自净能力较差的海域排放。</w:t>
            </w:r>
          </w:p>
          <w:p>
            <w:pPr>
              <w:pStyle w:val="31"/>
              <w:numPr>
                <w:ilvl w:val="255"/>
                <w:numId w:val="0"/>
              </w:numPr>
            </w:pPr>
            <w:r>
              <w:rPr>
                <w:rFonts w:eastAsiaTheme="minorEastAsia"/>
              </w:rPr>
              <w:t>5、向海域排放含热废水，必须采取有效措施，保证邻近渔业水域的水温符合国家海洋环境质量标准，避免热污染对水产资源的危害。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pStyle w:val="31"/>
              <w:numPr>
                <w:ilvl w:val="255"/>
                <w:numId w:val="0"/>
              </w:numPr>
              <w:rPr>
                <w:rFonts w:eastAsiaTheme="minorEastAsia"/>
              </w:rPr>
            </w:pPr>
            <w:r>
              <w:rPr>
                <w:rFonts w:eastAsiaTheme="minorEastAsia"/>
              </w:rPr>
              <w:t>1、深入强化入海排污口环境安全监管，提升海域水环境监察、监测能力，建立入海排污口长效管理机制，定期开展联合执法。</w:t>
            </w:r>
          </w:p>
          <w:p>
            <w:pPr>
              <w:pStyle w:val="31"/>
              <w:numPr>
                <w:ilvl w:val="255"/>
                <w:numId w:val="0"/>
              </w:numPr>
            </w:pPr>
            <w:r>
              <w:rPr>
                <w:rFonts w:eastAsiaTheme="minorEastAsia"/>
              </w:rPr>
              <w:t>2、强化环境风险源精准化管理，健全突发环境事件风险评估制度，加强污染物排放浓度和总量监测监控，强化监控确保达标排放。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HY45070020019</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钦州港金鼓江污水深海排放区（钦州港金鼓江特殊用海区）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1、严格按照相关法律法规、海洋国土空间规划以及海水动力条件等要求，经科学论证后，规范设置和监管入海排污口，并报设区的市级以上人民政府生态环境行政主管部门备案。</w:t>
            </w:r>
          </w:p>
          <w:p>
            <w:pPr>
              <w:adjustRightInd w:val="0"/>
              <w:snapToGrid w:val="0"/>
              <w:rPr>
                <w:rFonts w:ascii="Times New Roman" w:hAnsi="Times New Roman" w:cs="Times New Roman"/>
                <w:szCs w:val="21"/>
              </w:rPr>
            </w:pPr>
            <w:r>
              <w:rPr>
                <w:rFonts w:ascii="Times New Roman" w:hAnsi="Times New Roman" w:cs="Times New Roman"/>
                <w:szCs w:val="21"/>
              </w:rPr>
              <w:t>2、加快推进深海排放基础设施建设，实行离岸排放。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pStyle w:val="31"/>
              <w:numPr>
                <w:ilvl w:val="255"/>
                <w:numId w:val="0"/>
              </w:numPr>
              <w:rPr>
                <w:rFonts w:eastAsiaTheme="minorEastAsia"/>
              </w:rPr>
            </w:pPr>
            <w:r>
              <w:rPr>
                <w:rFonts w:eastAsiaTheme="minorEastAsia"/>
              </w:rPr>
              <w:t>1、入海排污口各类污染物排放须符合国家、省、市以及相关行业的污染物排放标准及主要污染物总量控制指标，同时满足海洋国土空间规划的管理要求。</w:t>
            </w:r>
          </w:p>
          <w:p>
            <w:pPr>
              <w:pStyle w:val="31"/>
              <w:numPr>
                <w:ilvl w:val="255"/>
                <w:numId w:val="0"/>
              </w:numPr>
              <w:rPr>
                <w:rFonts w:eastAsiaTheme="minorEastAsia"/>
              </w:rPr>
            </w:pPr>
            <w:r>
              <w:rPr>
                <w:rFonts w:eastAsiaTheme="minorEastAsia"/>
              </w:rPr>
              <w:t>2、禁止向海域排放油类、酸液、碱液、剧毒废液和高、中水平放射性废水，严格控制向海域排放含有不易降解的有机物和重金属的废水，排放低水平放射性废水应当符合国家放射性污染防治标准，其他污染物的排放应当符合国家或者地方标准。</w:t>
            </w:r>
          </w:p>
          <w:p>
            <w:pPr>
              <w:pStyle w:val="31"/>
              <w:numPr>
                <w:ilvl w:val="255"/>
                <w:numId w:val="0"/>
              </w:numPr>
              <w:rPr>
                <w:rFonts w:eastAsiaTheme="minorEastAsia"/>
              </w:rPr>
            </w:pPr>
            <w:r>
              <w:rPr>
                <w:rFonts w:eastAsiaTheme="minorEastAsia"/>
              </w:rPr>
              <w:t>3、含病原体的医疗污水、生活污水和工业废水必须经过处理，符合国家有关排放标准后，方能排入海域。</w:t>
            </w:r>
          </w:p>
          <w:p>
            <w:pPr>
              <w:pStyle w:val="31"/>
              <w:numPr>
                <w:ilvl w:val="255"/>
                <w:numId w:val="0"/>
              </w:numPr>
              <w:rPr>
                <w:rFonts w:eastAsiaTheme="minorEastAsia"/>
              </w:rPr>
            </w:pPr>
            <w:r>
              <w:rPr>
                <w:rFonts w:eastAsiaTheme="minorEastAsia"/>
              </w:rPr>
              <w:t>4、含有机物和营养物质的工业废水、生活污水，应当严格控制向海湾、半封闭海及其他自净能力较差的海域排放。</w:t>
            </w:r>
          </w:p>
          <w:p>
            <w:pPr>
              <w:adjustRightInd w:val="0"/>
              <w:snapToGrid w:val="0"/>
              <w:rPr>
                <w:rFonts w:ascii="Times New Roman" w:hAnsi="Times New Roman" w:cs="Times New Roman"/>
                <w:szCs w:val="21"/>
              </w:rPr>
            </w:pPr>
            <w:r>
              <w:rPr>
                <w:rFonts w:ascii="Times New Roman" w:hAnsi="Times New Roman" w:cs="Times New Roman"/>
              </w:rPr>
              <w:t>5、向海域排放含热废水，必须采取有效措施，保证邻近渔业水域的水温符合国家海洋环境质量标准，避免热污染对水产资源的危害。</w:t>
            </w:r>
          </w:p>
          <w:p>
            <w:pPr>
              <w:adjustRightInd w:val="0"/>
              <w:snapToGrid w:val="0"/>
              <w:rPr>
                <w:rFonts w:ascii="Times New Roman" w:hAnsi="Times New Roman" w:cs="Times New Roman"/>
                <w:szCs w:val="21"/>
              </w:rPr>
            </w:pPr>
            <w:r>
              <w:rPr>
                <w:rFonts w:ascii="Times New Roman" w:hAnsi="Times New Roman" w:cs="Times New Roman"/>
                <w:szCs w:val="21"/>
              </w:rPr>
              <w:t>6、钦州湾超标海域整治：（1）推进钦州市东排水口、犀牛脚镇排污口、胜科污水处理厂纳污区域、大榄坪污水处理厂纳污区域、三墩循环经济示范岛水污染整治。（2）污水处理厂尾水严格执行污染物排放标准，实施污染物排放总量控制。（3）推进雨污分流制改造。（4）加强工业集聚区污染治理和污染物排放控制，提高企业工业用水重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1、深入强化入海排污口环境安全监管，提升海域水环境监察、监测能力，建立入海排污口长效管理机制，定期开展联合执法。</w:t>
            </w:r>
          </w:p>
          <w:p>
            <w:pPr>
              <w:adjustRightInd w:val="0"/>
              <w:snapToGrid w:val="0"/>
              <w:rPr>
                <w:rFonts w:ascii="Times New Roman" w:hAnsi="Times New Roman" w:cs="Times New Roman"/>
                <w:szCs w:val="21"/>
              </w:rPr>
            </w:pPr>
            <w:r>
              <w:rPr>
                <w:rFonts w:ascii="Times New Roman" w:hAnsi="Times New Roman" w:cs="Times New Roman"/>
                <w:szCs w:val="21"/>
              </w:rPr>
              <w:t>2、强化环境风险源精准化管理，健全突发环境事件风险评估制度，加强污染物排放浓度和总量监测监控，强化监控确保达标排放。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HY45070020020</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钦州湾矿产与能源区（钦州湾工矿通信用海区）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numPr>
                <w:ilvl w:val="255"/>
                <w:numId w:val="0"/>
              </w:numPr>
              <w:rPr>
                <w:rFonts w:eastAsiaTheme="minorEastAsia"/>
              </w:rPr>
            </w:pPr>
            <w:r>
              <w:rPr>
                <w:rFonts w:eastAsiaTheme="minorEastAsia"/>
              </w:rPr>
              <w:t>1、采砂区。严格海砂开采许可管理，合理控制采砂方式、期限和规模。</w:t>
            </w:r>
          </w:p>
          <w:p>
            <w:pPr>
              <w:pStyle w:val="31"/>
              <w:numPr>
                <w:ilvl w:val="255"/>
                <w:numId w:val="0"/>
              </w:numPr>
            </w:pPr>
            <w:r>
              <w:rPr>
                <w:rFonts w:eastAsiaTheme="minorEastAsia"/>
              </w:rPr>
              <w:t>2、加强对采砂区域海底地形和潮流水动力等海洋生态环境特征的监测。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pStyle w:val="31"/>
              <w:numPr>
                <w:ilvl w:val="255"/>
                <w:numId w:val="0"/>
              </w:numPr>
              <w:rPr>
                <w:rFonts w:eastAsiaTheme="minorEastAsia"/>
              </w:rPr>
            </w:pPr>
            <w:r>
              <w:rPr>
                <w:rFonts w:eastAsiaTheme="minorEastAsia"/>
              </w:rPr>
              <w:t>1、在海洋固体矿产资源勘探开发工程的建设、运行过程中，应当采取有效措施，防止污染物大范围悬浮扩散，破坏海洋环境。</w:t>
            </w:r>
          </w:p>
          <w:p>
            <w:pPr>
              <w:pStyle w:val="31"/>
              <w:numPr>
                <w:ilvl w:val="255"/>
                <w:numId w:val="0"/>
              </w:numPr>
            </w:pPr>
            <w:r>
              <w:rPr>
                <w:rFonts w:eastAsiaTheme="minorEastAsia"/>
              </w:rPr>
              <w:t>2、加强海砂开采的环境影响评价管理工作，督促海砂开采企业按照环境影响报告书的要求，采取有效的生态保护措施，最大限度地减少海砂开采对海洋生态环境的影响。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pStyle w:val="31"/>
              <w:numPr>
                <w:ilvl w:val="255"/>
                <w:numId w:val="0"/>
              </w:numPr>
              <w:rPr>
                <w:rFonts w:eastAsiaTheme="minorEastAsia"/>
              </w:rPr>
            </w:pPr>
            <w:r>
              <w:rPr>
                <w:rFonts w:eastAsiaTheme="minorEastAsia"/>
              </w:rPr>
              <w:t>1、制定防治海洋工程污染损害海洋环境的应急预案。</w:t>
            </w:r>
          </w:p>
          <w:p>
            <w:pPr>
              <w:pStyle w:val="31"/>
              <w:numPr>
                <w:ilvl w:val="255"/>
                <w:numId w:val="0"/>
              </w:numPr>
            </w:pPr>
            <w:r>
              <w:rPr>
                <w:rFonts w:eastAsiaTheme="minorEastAsia"/>
              </w:rPr>
              <w:t>2、建立健全信息通报机制、打击违法违规行为的联动机制，合理拓宽建设用砂来源，采取有效措施，严厉打击非法开采、非法运输销售、违规使用海砂等行为，加强海砂开采、运输、销售、使用全过程监管。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pStyle w:val="31"/>
            </w:pPr>
            <w:r>
              <w:rPr>
                <w:kern w:val="0"/>
              </w:rPr>
              <w:t>严格控制海岸线的开发建设、海砂开采活动，加强海岸沙滩保护和矿产开发监管。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HY45070020021</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三墩港区（三墩交通运输用海区）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加强中华白海豚等水生生物重要生境以及自然岸线、红树林、湿地等保护。新建港口码头应避让且尽量远离生态保护红线、法定保护区、鱼类“三场一通道”等环境保护目标，降低规划实施对敏感目标的影响；现有港口码头应根据其与敏感目标的位置关系，提出搬迁、退出或强化环境保护措施的要求，避免加剧不利环境影响。</w:t>
            </w:r>
          </w:p>
          <w:p>
            <w:pPr>
              <w:adjustRightInd w:val="0"/>
              <w:snapToGrid w:val="0"/>
              <w:rPr>
                <w:rFonts w:ascii="Times New Roman" w:hAnsi="Times New Roman" w:cs="Times New Roman"/>
                <w:szCs w:val="21"/>
              </w:rPr>
            </w:pPr>
            <w:r>
              <w:rPr>
                <w:rFonts w:ascii="Times New Roman" w:hAnsi="Times New Roman" w:cs="Times New Roman"/>
                <w:szCs w:val="21"/>
              </w:rPr>
              <w:t>2、干散货码头需与居民集中区保持一定距离，确保不对居民造成大气环境不利影响；危险品码头需远离各类生态环境敏感目标。</w:t>
            </w:r>
          </w:p>
          <w:p>
            <w:pPr>
              <w:adjustRightInd w:val="0"/>
              <w:snapToGrid w:val="0"/>
              <w:rPr>
                <w:rFonts w:ascii="Times New Roman" w:hAnsi="Times New Roman" w:cs="Times New Roman"/>
                <w:szCs w:val="21"/>
              </w:rPr>
            </w:pPr>
            <w:r>
              <w:rPr>
                <w:rFonts w:ascii="Times New Roman" w:hAnsi="Times New Roman" w:cs="Times New Roman"/>
                <w:szCs w:val="21"/>
              </w:rPr>
              <w:t>3、不得突破港口总体规划划定的岸线范围。</w:t>
            </w:r>
          </w:p>
          <w:p>
            <w:pPr>
              <w:adjustRightInd w:val="0"/>
              <w:snapToGrid w:val="0"/>
              <w:rPr>
                <w:rFonts w:ascii="Times New Roman" w:hAnsi="Times New Roman" w:cs="Times New Roman"/>
                <w:szCs w:val="21"/>
              </w:rPr>
            </w:pPr>
            <w:r>
              <w:rPr>
                <w:rFonts w:ascii="Times New Roman" w:hAnsi="Times New Roman" w:cs="Times New Roman"/>
                <w:szCs w:val="21"/>
              </w:rPr>
              <w:t>4、建立渔业资源损失补偿机制，开展增殖放流、人工鱼礁等生态修复工作。</w:t>
            </w:r>
          </w:p>
          <w:p>
            <w:pPr>
              <w:snapToGrid w:val="0"/>
              <w:rPr>
                <w:rFonts w:ascii="Times New Roman" w:hAnsi="Times New Roman" w:cs="Times New Roman"/>
              </w:rPr>
            </w:pPr>
            <w:r>
              <w:rPr>
                <w:rFonts w:ascii="Times New Roman" w:hAnsi="Times New Roman" w:cs="Times New Roman"/>
                <w:szCs w:val="21"/>
              </w:rPr>
              <w:t>5、严格控制建设不符合《广西北部湾港总体规划修编》、《钦州港总体规划（2035年）》的港口码头项目。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1、船舶排放含油污水、生活污水等，应当符合船舶污染物排放标准。禁止向水体倾倒船舶垃圾。禁止排放不符合规定的船舶压载水。</w:t>
            </w:r>
          </w:p>
          <w:p>
            <w:pPr>
              <w:adjustRightInd w:val="0"/>
              <w:snapToGrid w:val="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kern w:val="0"/>
                <w:szCs w:val="21"/>
              </w:rPr>
              <w:t>统筹规划建设船舶污染物、废弃物的接收、转运及处理处置设施。</w:t>
            </w:r>
            <w:r>
              <w:rPr>
                <w:rFonts w:ascii="Times New Roman" w:hAnsi="Times New Roman" w:cs="Times New Roman"/>
                <w:szCs w:val="21"/>
              </w:rPr>
              <w:t>从事船舶污染物、废弃物接收作业，或者从事装载油类、污染危害性货物船舱清洗作业的单位，应当具备与其运营规模相适应的接收处理能力。</w:t>
            </w:r>
          </w:p>
          <w:p>
            <w:pPr>
              <w:adjustRightInd w:val="0"/>
              <w:snapToGrid w:val="0"/>
              <w:rPr>
                <w:rFonts w:ascii="Times New Roman" w:hAnsi="Times New Roman" w:cs="Times New Roman"/>
                <w:szCs w:val="21"/>
              </w:rPr>
            </w:pPr>
            <w:r>
              <w:rPr>
                <w:rFonts w:ascii="Times New Roman" w:hAnsi="Times New Roman" w:cs="Times New Roman"/>
                <w:szCs w:val="21"/>
              </w:rPr>
              <w:t>3、实行雨污分流和污水分质处理，完善港区污水集中处理设施和配套管网建设，实现污水集中处理、回用或达标排放。</w:t>
            </w:r>
          </w:p>
          <w:p>
            <w:pPr>
              <w:adjustRightInd w:val="0"/>
              <w:snapToGrid w:val="0"/>
              <w:rPr>
                <w:rFonts w:ascii="Times New Roman" w:hAnsi="Times New Roman" w:cs="Times New Roman"/>
                <w:szCs w:val="21"/>
              </w:rPr>
            </w:pPr>
            <w:r>
              <w:rPr>
                <w:rFonts w:ascii="Times New Roman" w:hAnsi="Times New Roman" w:cs="Times New Roman"/>
                <w:szCs w:val="21"/>
              </w:rPr>
              <w:t>4、干散货作业区应实现封闭/半封闭堆存或建设有效防风抑尘设施。采取油气回收措施等有效措施控制港区油气无组织排放。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1、严控港区油品和化学品运输、存储的环境风险，加大船舶航行安全保障和港区风险防范力度。船舶装载运输油类或者有毒货物，应当采取防止溢流和渗漏的措施，防止货物落水造成水污染。</w:t>
            </w:r>
          </w:p>
          <w:p>
            <w:pPr>
              <w:adjustRightInd w:val="0"/>
              <w:snapToGrid w:val="0"/>
              <w:rPr>
                <w:rFonts w:ascii="Times New Roman" w:hAnsi="Times New Roman" w:cs="Times New Roman"/>
                <w:szCs w:val="21"/>
              </w:rPr>
            </w:pPr>
            <w:r>
              <w:rPr>
                <w:rFonts w:ascii="Times New Roman" w:hAnsi="Times New Roman" w:cs="Times New Roman"/>
                <w:szCs w:val="21"/>
              </w:rPr>
              <w:t>2、开展环境风险评估，编制重大突发环境事件应急预案并备案，完善陆域环境风险源和海上溢油及危险化学品泄漏对近岸海域影响的应急方案，落实港区环境风险应急能力建设，并定期开展应急演练。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港区污染物排放以及用水、能耗、物耗、岸线与土地利用等资源环境指标达到行业先进水平。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HY45070020022</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三墩污水深海排放区（三墩特殊用海区）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1、严格按照相关法律法规、海洋国土空间规划以及海水动力条件等要求，经科学论证后，规范设置和监管入海排污口，并报设区的市级以上人民政府生态环境行政主管部门备案。</w:t>
            </w:r>
          </w:p>
          <w:p>
            <w:pPr>
              <w:adjustRightInd w:val="0"/>
              <w:snapToGrid w:val="0"/>
              <w:rPr>
                <w:rFonts w:ascii="Times New Roman" w:hAnsi="Times New Roman" w:cs="Times New Roman"/>
                <w:szCs w:val="21"/>
              </w:rPr>
            </w:pPr>
            <w:r>
              <w:rPr>
                <w:rFonts w:ascii="Times New Roman" w:hAnsi="Times New Roman" w:cs="Times New Roman"/>
                <w:szCs w:val="21"/>
              </w:rPr>
              <w:t>2、加快推进深海排放基础设施建设，实行离岸排放。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1、污水离岸排放不得超过国家或者地方规定的排放标准。</w:t>
            </w:r>
          </w:p>
          <w:p>
            <w:pPr>
              <w:adjustRightInd w:val="0"/>
              <w:snapToGrid w:val="0"/>
              <w:rPr>
                <w:rFonts w:ascii="Times New Roman" w:hAnsi="Times New Roman" w:cs="Times New Roman"/>
                <w:szCs w:val="21"/>
              </w:rPr>
            </w:pPr>
            <w:r>
              <w:rPr>
                <w:rFonts w:ascii="Times New Roman" w:hAnsi="Times New Roman" w:cs="Times New Roman"/>
                <w:szCs w:val="21"/>
              </w:rPr>
              <w:t>2、禁止向海域排放油类、酸液、碱液、剧毒废液和高、中水平放射性废水，严格控制向海域排放含有不易降解的有机物和重金属的废水，排放低水平放射性废水应当符合国家放射性污染防治标准，其他污染物的排放应当符合国家或者地方标准。</w:t>
            </w:r>
          </w:p>
          <w:p>
            <w:pPr>
              <w:adjustRightInd w:val="0"/>
              <w:snapToGrid w:val="0"/>
              <w:rPr>
                <w:rFonts w:ascii="Times New Roman" w:hAnsi="Times New Roman" w:cs="Times New Roman"/>
                <w:szCs w:val="21"/>
              </w:rPr>
            </w:pPr>
            <w:r>
              <w:rPr>
                <w:rFonts w:ascii="Times New Roman" w:hAnsi="Times New Roman" w:cs="Times New Roman"/>
                <w:szCs w:val="21"/>
              </w:rPr>
              <w:t>3、含病原体的医疗污水、生活污水和工业废水必须经过处理，符合国家有关排放标准后，方能排入海域。</w:t>
            </w:r>
          </w:p>
          <w:p>
            <w:pPr>
              <w:adjustRightInd w:val="0"/>
              <w:snapToGrid w:val="0"/>
              <w:rPr>
                <w:rFonts w:ascii="Times New Roman" w:hAnsi="Times New Roman" w:cs="Times New Roman"/>
                <w:szCs w:val="21"/>
              </w:rPr>
            </w:pPr>
            <w:r>
              <w:rPr>
                <w:rFonts w:ascii="Times New Roman" w:hAnsi="Times New Roman" w:cs="Times New Roman"/>
                <w:szCs w:val="21"/>
              </w:rPr>
              <w:t>4、含有机物和营养物质的工业废水、生活污水，应当严格控制向海湾、半封闭海及其他自净能力较差的海域排放。</w:t>
            </w:r>
          </w:p>
          <w:p>
            <w:pPr>
              <w:snapToGrid w:val="0"/>
              <w:rPr>
                <w:rFonts w:ascii="Times New Roman" w:hAnsi="Times New Roman" w:cs="Times New Roman"/>
                <w:szCs w:val="21"/>
              </w:rPr>
            </w:pPr>
            <w:r>
              <w:rPr>
                <w:rFonts w:ascii="Times New Roman" w:hAnsi="Times New Roman" w:cs="Times New Roman"/>
                <w:szCs w:val="21"/>
              </w:rPr>
              <w:t>5、向海域排放含热废水，必须采取有效措施，保证邻近渔业水域的水温符合国家海洋环境质量标准，避免热污染对水产资源的危害。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1、深入强化入海排污口环境安全监管，提升海域水环境监察、监测能力，建立入海排污口长效管理机制，定期开展联合执法。</w:t>
            </w:r>
          </w:p>
          <w:p>
            <w:pPr>
              <w:adjustRightInd w:val="0"/>
              <w:snapToGrid w:val="0"/>
              <w:rPr>
                <w:rFonts w:ascii="Times New Roman" w:hAnsi="Times New Roman" w:cs="Times New Roman"/>
                <w:szCs w:val="21"/>
              </w:rPr>
            </w:pPr>
            <w:r>
              <w:rPr>
                <w:rFonts w:ascii="Times New Roman" w:hAnsi="Times New Roman" w:cs="Times New Roman"/>
                <w:szCs w:val="21"/>
              </w:rPr>
              <w:t>2、强化环境风险源精准化管理，健全突发环境事件风险评估制度，加强污染物排放浓度和总量监测监控，强化监控确保达标排放。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HY45070020023</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三娘湾港区（三娘湾交通运输用海区）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rPr>
                <w:rFonts w:eastAsiaTheme="minorEastAsia"/>
              </w:rPr>
            </w:pPr>
            <w:r>
              <w:rPr>
                <w:rFonts w:eastAsiaTheme="minorEastAsia"/>
              </w:rPr>
              <w:t>1、加强中华白海豚等水生生物重要生境以及自然岸线、红树林、湿地等保护。新建港口码头应避让且尽量远离生态保护红线、法定保护区、鱼类“三场一通道”等环境保护目标，降低规划实施对敏感目标的影响；现有港口码头应根据其与敏感目标的位置关系，提出搬迁、退出或强化环境保护措施的要求，避免加剧不利环境影响。</w:t>
            </w:r>
          </w:p>
          <w:p>
            <w:pPr>
              <w:pStyle w:val="31"/>
              <w:rPr>
                <w:rFonts w:eastAsiaTheme="minorEastAsia"/>
              </w:rPr>
            </w:pPr>
            <w:r>
              <w:rPr>
                <w:rFonts w:eastAsiaTheme="minorEastAsia"/>
              </w:rPr>
              <w:t>2、不得突破港口总体规划划定的岸线范围。</w:t>
            </w:r>
          </w:p>
          <w:p>
            <w:pPr>
              <w:pStyle w:val="31"/>
              <w:rPr>
                <w:rFonts w:eastAsiaTheme="minorEastAsia"/>
              </w:rPr>
            </w:pPr>
            <w:r>
              <w:rPr>
                <w:rFonts w:eastAsiaTheme="minorEastAsia"/>
              </w:rPr>
              <w:t>3、建立渔业资源损失补偿机制，开展增殖放流、人工鱼礁等生态修复工作。</w:t>
            </w:r>
          </w:p>
          <w:p>
            <w:pPr>
              <w:pStyle w:val="31"/>
              <w:rPr>
                <w:rFonts w:eastAsiaTheme="minorEastAsia"/>
              </w:rPr>
            </w:pPr>
            <w:r>
              <w:rPr>
                <w:rFonts w:eastAsiaTheme="minorEastAsia"/>
              </w:rPr>
              <w:t>4、</w:t>
            </w:r>
            <w:r>
              <w:t>严格控制建设不符合《广西北部湾港总体规划修编》、《钦州港总体规划（2035年）》的港口码头项目。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pStyle w:val="31"/>
              <w:rPr>
                <w:rFonts w:eastAsiaTheme="minorEastAsia"/>
              </w:rPr>
            </w:pPr>
            <w:r>
              <w:rPr>
                <w:rFonts w:eastAsiaTheme="minorEastAsia"/>
              </w:rPr>
              <w:t>1、船舶排放含油污水、生活污水等，应当符合船舶污染物排放标准。禁止向水体倾倒船舶垃圾。禁止排放不符合规定的船舶压载水。</w:t>
            </w:r>
          </w:p>
          <w:p>
            <w:pPr>
              <w:pStyle w:val="31"/>
              <w:rPr>
                <w:rFonts w:eastAsiaTheme="minorEastAsia"/>
              </w:rPr>
            </w:pPr>
            <w:r>
              <w:rPr>
                <w:rFonts w:eastAsiaTheme="minorEastAsia"/>
              </w:rPr>
              <w:t>2、统筹规划建设船舶污染物、废弃物的接收、转运及处理处置设施。从事船舶污染物、废弃物接收作业，或者从事装载油类、污染危害性货物船舱清洗作业的单位，应当具备与其运营规模相适应的接收处理能力。</w:t>
            </w:r>
          </w:p>
          <w:p>
            <w:pPr>
              <w:pStyle w:val="31"/>
              <w:rPr>
                <w:rFonts w:eastAsiaTheme="minorEastAsia"/>
              </w:rPr>
            </w:pPr>
            <w:r>
              <w:rPr>
                <w:rFonts w:eastAsiaTheme="minorEastAsia"/>
              </w:rPr>
              <w:t>3、实行雨污分流和污水分质处理，完善港区污水集中处理设施和配套管网建设，实现污水集中处理、回用或达标排放。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开展环境风险评估，编制重大突发环境事件应急预案并备案，完善陆域环境风险源和海上溢油对近岸海域影响的应急方案，落实港区环境风险应急能力建设，并定期开展应急演练。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港区污染物排放以及用水、能耗、物耗、岸线与土地利用等资源环境指标达到行业先进水平。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HY45070020024</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三娘湾旅游休闲娱乐区（三娘湾旅游游憩用海区）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1、海岸基本功能为旅游娱乐用海，重点发展滨海度假、休闲游憩，建设度假酒店、高档滨海浴场、开辟白海豚驯养、海底潜水观光等参与性项目。</w:t>
            </w:r>
          </w:p>
          <w:p>
            <w:pPr>
              <w:adjustRightInd w:val="0"/>
              <w:snapToGrid w:val="0"/>
              <w:rPr>
                <w:rFonts w:ascii="Times New Roman" w:hAnsi="Times New Roman" w:cs="Times New Roman"/>
                <w:szCs w:val="21"/>
              </w:rPr>
            </w:pPr>
            <w:r>
              <w:rPr>
                <w:rFonts w:ascii="Times New Roman" w:hAnsi="Times New Roman" w:cs="Times New Roman"/>
                <w:szCs w:val="21"/>
              </w:rPr>
              <w:t>2、合理控制旅游开发强度，完善旅游基础设施建设。</w:t>
            </w:r>
            <w:r>
              <w:rPr>
                <w:rFonts w:ascii="Times New Roman" w:hAnsi="Times New Roman" w:cs="Times New Roman"/>
              </w:rPr>
              <w:t>严控新增围填海造地，完善围填海总量管控；除国家重大战略项目外，全面停止新增围填海项目审批。</w:t>
            </w:r>
            <w:r>
              <w:rPr>
                <w:rFonts w:ascii="Times New Roman" w:hAnsi="Times New Roman" w:cs="Times New Roman"/>
                <w:szCs w:val="21"/>
              </w:rPr>
              <w:t>限制破坏海岸地形、岸滩形态的活动。</w:t>
            </w:r>
          </w:p>
          <w:p>
            <w:pPr>
              <w:adjustRightInd w:val="0"/>
              <w:snapToGrid w:val="0"/>
              <w:rPr>
                <w:rFonts w:ascii="Times New Roman" w:hAnsi="Times New Roman" w:cs="Times New Roman"/>
                <w:szCs w:val="21"/>
              </w:rPr>
            </w:pPr>
            <w:r>
              <w:rPr>
                <w:rFonts w:ascii="Times New Roman" w:hAnsi="Times New Roman" w:cs="Times New Roman"/>
                <w:szCs w:val="21"/>
              </w:rPr>
              <w:t>3、三娘湾西段岸线侵蚀严重，需要结合旅游开发加强侵蚀海岸防护。保持沿岸重要自然景观和人文景观的完整性和原生性。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1、严格实行污水达标排放和生活垃圾科学处置</w:t>
            </w:r>
            <w:r>
              <w:rPr>
                <w:rFonts w:ascii="Times New Roman" w:hAnsi="Times New Roman" w:cs="Times New Roman"/>
              </w:rPr>
              <w:t>，禁止直接排海，加强定期海域水质监测</w:t>
            </w:r>
            <w:r>
              <w:rPr>
                <w:rFonts w:ascii="Times New Roman" w:hAnsi="Times New Roman" w:cs="Times New Roman"/>
                <w:szCs w:val="21"/>
              </w:rPr>
              <w:t>。</w:t>
            </w:r>
          </w:p>
          <w:p>
            <w:pPr>
              <w:adjustRightInd w:val="0"/>
              <w:snapToGrid w:val="0"/>
              <w:rPr>
                <w:rFonts w:ascii="Times New Roman" w:hAnsi="Times New Roman" w:cs="Times New Roman"/>
                <w:szCs w:val="21"/>
              </w:rPr>
            </w:pPr>
            <w:r>
              <w:rPr>
                <w:rFonts w:ascii="Times New Roman" w:hAnsi="Times New Roman" w:cs="Times New Roman"/>
                <w:szCs w:val="21"/>
              </w:rPr>
              <w:t>2、大风江口超标海域整治：加强大风江禁养区内畜禽养殖场的清理整治，加大巡查监管力度，防止反弹复养。推进大风江流域排污口截流、“散乱污”企业清理、大风江流域视频监控系统建设等工作。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1、全面落实河长制、湾长制，加强入海排污口监管，建立长效管理机制，建立资源环境承载能力监测预警机制。</w:t>
            </w:r>
          </w:p>
          <w:p>
            <w:pPr>
              <w:adjustRightInd w:val="0"/>
              <w:snapToGrid w:val="0"/>
              <w:rPr>
                <w:rFonts w:ascii="Times New Roman" w:hAnsi="Times New Roman" w:cs="Times New Roman"/>
                <w:szCs w:val="21"/>
              </w:rPr>
            </w:pPr>
            <w:r>
              <w:rPr>
                <w:rFonts w:ascii="Times New Roman" w:hAnsi="Times New Roman" w:cs="Times New Roman"/>
                <w:szCs w:val="21"/>
              </w:rPr>
              <w:t>2、加强海洋赤潮灾害监测、预警、应急处置能力的建设。</w:t>
            </w:r>
          </w:p>
          <w:p>
            <w:pPr>
              <w:adjustRightInd w:val="0"/>
              <w:snapToGrid w:val="0"/>
              <w:rPr>
                <w:rFonts w:ascii="Times New Roman" w:hAnsi="Times New Roman" w:cs="Times New Roman"/>
                <w:szCs w:val="21"/>
              </w:rPr>
            </w:pPr>
            <w:r>
              <w:rPr>
                <w:rFonts w:ascii="Times New Roman" w:hAnsi="Times New Roman" w:cs="Times New Roman"/>
                <w:szCs w:val="21"/>
              </w:rPr>
              <w:t>3、开展环境风险评估，加大船舶航行安全保障和港区风险防范力度。完善区域应急联动机制。探索建立健全沿海环境污染责任保险制度。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rPr>
              <w:t>根据资源环境承载能力，合理控制旅游开发强度，科学有序发展岸线、岸滩。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HY45070020025</w:t>
            </w:r>
          </w:p>
        </w:tc>
        <w:tc>
          <w:tcPr>
            <w:tcW w:w="1984" w:type="dxa"/>
            <w:vMerge w:val="restart"/>
            <w:shd w:val="clear" w:color="auto" w:fill="auto"/>
            <w:vAlign w:val="center"/>
          </w:tcPr>
          <w:p>
            <w:pPr>
              <w:widowControl/>
              <w:rPr>
                <w:rFonts w:ascii="Times New Roman" w:hAnsi="Times New Roman" w:cs="Times New Roman"/>
                <w:kern w:val="0"/>
                <w:szCs w:val="21"/>
              </w:rPr>
            </w:pPr>
            <w:r>
              <w:rPr>
                <w:rFonts w:ascii="Times New Roman" w:hAnsi="Times New Roman" w:eastAsia="宋体" w:cs="Times New Roman"/>
                <w:kern w:val="0"/>
                <w:szCs w:val="21"/>
              </w:rPr>
              <w:t>三娘湾农渔业区（三娘湾渔业用海区）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numPr>
                <w:ilvl w:val="0"/>
                <w:numId w:val="9"/>
              </w:numPr>
              <w:adjustRightInd w:val="0"/>
              <w:snapToGrid w:val="0"/>
              <w:rPr>
                <w:rFonts w:ascii="Times New Roman" w:hAnsi="Times New Roman" w:cs="Times New Roman"/>
                <w:szCs w:val="21"/>
              </w:rPr>
            </w:pPr>
            <w:r>
              <w:rPr>
                <w:rFonts w:ascii="Times New Roman" w:hAnsi="Times New Roman" w:cs="Times New Roman"/>
                <w:szCs w:val="21"/>
              </w:rPr>
              <w:t>海域基本功能为渔业用海，根据不同底质可分别进行牡蛎、文蛤和毛蚶等海水生物的养殖。禁止改变海域自然属性。</w:t>
            </w:r>
          </w:p>
          <w:p>
            <w:pPr>
              <w:numPr>
                <w:ilvl w:val="0"/>
                <w:numId w:val="9"/>
              </w:numPr>
              <w:adjustRightInd w:val="0"/>
              <w:snapToGrid w:val="0"/>
              <w:rPr>
                <w:rFonts w:ascii="Times New Roman" w:hAnsi="Times New Roman" w:cs="Times New Roman"/>
                <w:szCs w:val="21"/>
              </w:rPr>
            </w:pPr>
            <w:r>
              <w:rPr>
                <w:rFonts w:ascii="Times New Roman" w:hAnsi="Times New Roman" w:cs="Times New Roman"/>
              </w:rPr>
              <w:t>合理调整养殖布局，</w:t>
            </w:r>
            <w:r>
              <w:rPr>
                <w:rFonts w:ascii="Times New Roman" w:hAnsi="Times New Roman" w:cs="Times New Roman"/>
                <w:szCs w:val="21"/>
              </w:rPr>
              <w:t>按照养殖容量控制养殖规模和养殖密度，发展健康、生态养殖方式。保护现有红树林生态系统。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w:t>
            </w:r>
            <w:r>
              <w:rPr>
                <w:rFonts w:ascii="Times New Roman" w:hAnsi="Times New Roman" w:eastAsia="宋体" w:cs="Times New Roman"/>
                <w:szCs w:val="21"/>
                <w:shd w:val="clear" w:color="auto" w:fill="FFFFFF"/>
              </w:rPr>
              <w:t>从事养殖生产不得使用含有毒有害物质的饵料、饲料。科学确定养殖密度，合理投饵、施肥、使用药物，</w:t>
            </w:r>
            <w:r>
              <w:rPr>
                <w:rFonts w:ascii="Times New Roman" w:hAnsi="Times New Roman" w:cs="Times New Roman"/>
                <w:szCs w:val="21"/>
                <w:shd w:val="clear" w:color="auto" w:fill="FFFFFF"/>
              </w:rPr>
              <w:t>养殖排放水应符合相关规定，</w:t>
            </w:r>
            <w:r>
              <w:rPr>
                <w:rFonts w:ascii="Times New Roman" w:hAnsi="Times New Roman" w:eastAsia="宋体" w:cs="Times New Roman"/>
                <w:szCs w:val="21"/>
                <w:shd w:val="clear" w:color="auto" w:fill="FFFFFF"/>
              </w:rPr>
              <w:t>不得造成水域的环境污染。</w:t>
            </w:r>
            <w:r>
              <w:rPr>
                <w:rFonts w:ascii="Times New Roman" w:hAnsi="Times New Roman" w:cs="Times New Roman"/>
                <w:szCs w:val="21"/>
              </w:rPr>
              <w:t>严格控制陆域面源污染和点源污染。</w:t>
            </w:r>
          </w:p>
          <w:p>
            <w:pPr>
              <w:adjustRightInd w:val="0"/>
              <w:snapToGrid w:val="0"/>
              <w:rPr>
                <w:rFonts w:ascii="Times New Roman" w:hAnsi="Times New Roman" w:cs="Times New Roman"/>
                <w:szCs w:val="21"/>
              </w:rPr>
            </w:pPr>
            <w:r>
              <w:rPr>
                <w:rFonts w:ascii="Times New Roman" w:hAnsi="Times New Roman" w:cs="Times New Roman"/>
                <w:szCs w:val="21"/>
              </w:rPr>
              <w:t>2、大风江口超标海域整治：加强大风江禁养区内畜禽养殖场的清理整治，加大巡查监管力度，防止反弹复养。推进大风江流域排污口截流、“散乱污”企业清理、大风江流域视频监控系统建设等工作。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pStyle w:val="31"/>
              <w:rPr>
                <w:rFonts w:eastAsiaTheme="minorEastAsia"/>
              </w:rPr>
            </w:pPr>
            <w:r>
              <w:rPr>
                <w:rFonts w:eastAsiaTheme="minorEastAsia"/>
              </w:rPr>
              <w:t>1、强化海水养殖污染属地监管职责，落实生产经营者养殖污染主体责任。</w:t>
            </w:r>
          </w:p>
          <w:p>
            <w:pPr>
              <w:pStyle w:val="31"/>
              <w:rPr>
                <w:rFonts w:eastAsiaTheme="minorEastAsia"/>
              </w:rPr>
            </w:pPr>
            <w:r>
              <w:rPr>
                <w:rFonts w:eastAsiaTheme="minorEastAsia"/>
              </w:rPr>
              <w:t>2、全面落实河长制、湾长制，加强入海排污口监管，建立资源环境承载能力监测预警机制。</w:t>
            </w:r>
          </w:p>
          <w:p>
            <w:pPr>
              <w:pStyle w:val="31"/>
              <w:rPr>
                <w:rFonts w:eastAsiaTheme="minorEastAsia"/>
              </w:rPr>
            </w:pPr>
            <w:r>
              <w:rPr>
                <w:rFonts w:eastAsiaTheme="minorEastAsia"/>
              </w:rPr>
              <w:t>3、加强海洋赤潮灾害监测、预警、应急处置能力的建设。</w:t>
            </w:r>
          </w:p>
          <w:p>
            <w:pPr>
              <w:pStyle w:val="31"/>
            </w:pPr>
            <w:r>
              <w:rPr>
                <w:rFonts w:eastAsiaTheme="minorEastAsia"/>
              </w:rPr>
              <w:t>4、完善区域应急联动机制。探索建立健全沿海环境污染责任保险制度。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pStyle w:val="31"/>
            </w:pPr>
            <w:r>
              <w:rPr>
                <w:rFonts w:eastAsiaTheme="minorEastAsia"/>
              </w:rPr>
              <w:t>突出节约集约用海原则，合理控制养殖规模，提高海域空间资源的整体使用效能。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HY45070020026</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沙井北岸保留区（沙井北岸海洋预留区）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重点管控单元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adjustRightInd w:val="0"/>
              <w:snapToGrid w:val="0"/>
              <w:rPr>
                <w:rFonts w:ascii="Times New Roman" w:hAnsi="Times New Roman" w:cs="Times New Roman"/>
              </w:rPr>
            </w:pPr>
            <w:r>
              <w:rPr>
                <w:rFonts w:ascii="Times New Roman" w:hAnsi="Times New Roman" w:cs="Times New Roman"/>
              </w:rPr>
              <w:t>1、兼容排洪泄洪功能。禁止围填海；不得影响防洪、泄洪安全。保障河道通畅。</w:t>
            </w:r>
          </w:p>
          <w:p>
            <w:pPr>
              <w:pStyle w:val="2"/>
              <w:rPr>
                <w:rFonts w:hint="default" w:ascii="Times New Roman" w:hAnsi="Times New Roman"/>
                <w:color w:val="auto"/>
              </w:rPr>
            </w:pPr>
            <w:r>
              <w:rPr>
                <w:rFonts w:hint="default" w:ascii="Times New Roman" w:hAnsi="Times New Roman" w:eastAsiaTheme="minorEastAsia"/>
                <w:color w:val="auto"/>
                <w:kern w:val="2"/>
                <w:sz w:val="21"/>
                <w:szCs w:val="24"/>
              </w:rPr>
              <w:t>2、严控新增围填海造地，完善围填海总量管控；除国家重大战略项目外，全面停止新增围填海项目审批。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1、加强区域环境质量监测、污染监测和检查工作，海域开发前基本保持所在海域环境质量现状水平。</w:t>
            </w:r>
          </w:p>
          <w:p>
            <w:pPr>
              <w:adjustRightInd w:val="0"/>
              <w:snapToGrid w:val="0"/>
              <w:rPr>
                <w:rFonts w:ascii="Times New Roman" w:hAnsi="Times New Roman" w:cs="Times New Roman"/>
                <w:szCs w:val="21"/>
              </w:rPr>
            </w:pPr>
            <w:r>
              <w:rPr>
                <w:rFonts w:ascii="Times New Roman" w:hAnsi="Times New Roman" w:cs="Times New Roman"/>
                <w:szCs w:val="21"/>
              </w:rPr>
              <w:t>2、茅尾海超标海域整治：（1）水产养殖废水整治。推进鱼（虾）塘标准化、生态化改造，加强养殖投入品管理。全面开展茅尾海沿岸养殖排水口排查监管整治，规范养殖尾水排放方式，严禁未经处理尾水直排入茅尾海。（2）茅尾海沿岸生活污水排放整治。完善镇级污水处理设施管网建设。加快推进沿海农村环境综合整治污水设施项目建设。（3）加强畜禽养殖监管，加大违规养殖整治力度。积极促进畜牧粪污资源化利用，规范养殖粪污排放方式，严禁直排污染。控制海鸭散养规模，推进规模化养殖场（小区）建设；控制海鸭养殖区域，限制河道内、海堤水门区域、红树林保护区的海鸭养殖活动。加大微生物技术在畜禽养殖行业的应用；推行养殖环境生态化和养殖设施标准化建设；推广种养结合、畜禽水产养殖结合的循环养殖模式。（4）养殖污染控制。转变渔业养殖模式，大力发展深海养殖。控制生蚝养殖密度，提高生蚝养殖技术，加强养殖水质预警。（5）茅尾海沿岸农业种植污染控制。转变农业发展方式。推广使用高效、低毒、低残留农药，推进作物病虫害绿色防控和统防统治融合发展。实行测土配方施肥。（6）茅尾海沿岸企业污染控制。持续开展“散乱污”企业整治。优化沿海产业布局，严格执行污染物排放标准，强化工业企业总氮和总磷等污染物负荷削减，实施污染物排放总量控制。加强工业集聚区污染治理和污染物排放控制。强化工业集聚区配套污水集中处理设施的管理和配套官网建设，确保处理设施稳定运行、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环境风险防控</w:t>
            </w:r>
          </w:p>
        </w:tc>
        <w:tc>
          <w:tcPr>
            <w:tcW w:w="8939" w:type="dxa"/>
            <w:shd w:val="clear" w:color="auto" w:fill="auto"/>
            <w:vAlign w:val="center"/>
          </w:tcPr>
          <w:p>
            <w:pPr>
              <w:rPr>
                <w:rFonts w:ascii="Times New Roman" w:hAnsi="Times New Roman" w:cs="Times New Roman"/>
              </w:rPr>
            </w:pPr>
            <w:r>
              <w:rPr>
                <w:rFonts w:ascii="Times New Roman" w:hAnsi="Times New Roman" w:cs="Times New Roman"/>
              </w:rPr>
              <w:t>1、全面落实河长制、湾长制，加强入海排污口监管，建立长效管理机制，建立资源环境承载能力监测预警机制。</w:t>
            </w:r>
          </w:p>
          <w:p>
            <w:pPr>
              <w:rPr>
                <w:rFonts w:ascii="Times New Roman" w:hAnsi="Times New Roman" w:cs="Times New Roman"/>
              </w:rPr>
            </w:pPr>
            <w:r>
              <w:rPr>
                <w:rFonts w:ascii="Times New Roman" w:hAnsi="Times New Roman" w:cs="Times New Roman"/>
              </w:rPr>
              <w:t>2、加强海洋赤潮灾害监测、预警、应急处置能力的建设。</w:t>
            </w:r>
          </w:p>
          <w:p>
            <w:pPr>
              <w:snapToGrid w:val="0"/>
              <w:rPr>
                <w:rFonts w:ascii="Times New Roman" w:hAnsi="Times New Roman" w:cs="Times New Roman"/>
                <w:szCs w:val="21"/>
              </w:rPr>
            </w:pPr>
            <w:r>
              <w:rPr>
                <w:rFonts w:ascii="Times New Roman" w:hAnsi="Times New Roman" w:cs="Times New Roman"/>
              </w:rPr>
              <w:t>3、开展环境风险评估，加大船舶航行安全保障和港区风险防范力度。完善区域应急联动机制。探索建立健全沿海环境污染责任保险制度。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资源开发利用效率要求</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rPr>
              <w:t>保留海域后备空间资源，区域优先支持海洋可再生能源开发、科学研究、公益性项目及其他实验性用海活动。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HY45070030001</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大风江保留区（大风江海洋预留区）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一般管控单元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numPr>
                <w:ilvl w:val="0"/>
                <w:numId w:val="10"/>
              </w:numPr>
              <w:snapToGrid w:val="0"/>
              <w:rPr>
                <w:rFonts w:ascii="Times New Roman" w:hAnsi="Times New Roman" w:cs="Times New Roman"/>
              </w:rPr>
            </w:pPr>
            <w:r>
              <w:rPr>
                <w:rFonts w:ascii="Times New Roman" w:hAnsi="Times New Roman" w:cs="Times New Roman"/>
              </w:rPr>
              <w:t>严格论证海域最适合功能。严控新增围填海造地，完善围填海总量管控；除国家重大战略项目外，全面停止新增围填海项目审批。</w:t>
            </w:r>
          </w:p>
          <w:p>
            <w:pPr>
              <w:numPr>
                <w:ilvl w:val="0"/>
                <w:numId w:val="10"/>
              </w:numPr>
              <w:snapToGrid w:val="0"/>
              <w:rPr>
                <w:rFonts w:ascii="Times New Roman" w:hAnsi="Times New Roman" w:cs="Times New Roman"/>
              </w:rPr>
            </w:pPr>
            <w:r>
              <w:rPr>
                <w:rFonts w:ascii="Times New Roman" w:hAnsi="Times New Roman" w:cs="Times New Roman"/>
              </w:rPr>
              <w:t>禁止严重改变海域自然属性的开发利用方式；不得影响防洪、泄洪安全。保障河道通畅。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pStyle w:val="31"/>
              <w:numPr>
                <w:ilvl w:val="255"/>
                <w:numId w:val="0"/>
              </w:numPr>
            </w:pPr>
            <w:r>
              <w:rPr>
                <w:rFonts w:eastAsiaTheme="minorEastAsia"/>
              </w:rPr>
              <w:t>加强区域环境质量监测及污染监测，海域开发前基本保持所在海域环境质量现状水平。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HY45070030002</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大风江航道南侧农渔业区（大风江航道南侧渔业用海区）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一般管控单元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1、海域基本功能为渔业用海，允许在论证基础上安排与渔业相兼容的开发活动。</w:t>
            </w:r>
          </w:p>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2、严格限制改变海域自然属性。</w:t>
            </w:r>
            <w:r>
              <w:rPr>
                <w:rFonts w:ascii="Times New Roman" w:hAnsi="Times New Roman" w:cs="Times New Roman"/>
              </w:rPr>
              <w:t>优化养殖发展布局，</w:t>
            </w:r>
            <w:r>
              <w:rPr>
                <w:rFonts w:ascii="Times New Roman" w:hAnsi="Times New Roman" w:cs="Times New Roman"/>
                <w:szCs w:val="21"/>
              </w:rPr>
              <w:t>按照养殖容量控制养殖规模和养殖密度，发展健康、生态养殖方式。禁渔期间，禁止底拖网渔船和拖虾渔船及捕捞二长棘鲷幼鱼和幼虾为主的其它作业渔船进入生产。</w:t>
            </w:r>
          </w:p>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3、禁止影响航道安全的养殖活动。保持自然现状，不得进行鱼排、鱼栅、人工鱼礁、围海等活动。调整与清理影响生态环境和航行安全的养殖方式。1~7月为蓝圆鲹或二长棘鲷产卵期，加强对蓝圆鲹和二长棘鲷产卵场的保护。加强对白海豚生境的保护。</w:t>
            </w:r>
          </w:p>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4、发展养殖业应符合</w:t>
            </w:r>
            <w:r>
              <w:rPr>
                <w:rFonts w:ascii="Times New Roman" w:hAnsi="Times New Roman" w:cs="Times New Roman"/>
              </w:rPr>
              <w:t>《钦州市养殖水域滩涂规划（2019-2030）》相关规定。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从事养殖生产不得使用含有毒有害物质的饵料、饲料。科学确定养殖密度，合理投饵、施肥、使用药物，养殖排放水应符合相关规定，不得造成水域的环境污染。</w:t>
            </w:r>
            <w:r>
              <w:rPr>
                <w:rFonts w:ascii="Times New Roman" w:hAnsi="Times New Roman" w:cs="Times New Roman"/>
              </w:rPr>
              <w:t>严格控制国控监测点海水水质不劣于二类标准</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rPr>
              <w:t>环境风险防控</w:t>
            </w:r>
          </w:p>
        </w:tc>
        <w:tc>
          <w:tcPr>
            <w:tcW w:w="8939" w:type="dxa"/>
            <w:shd w:val="clear" w:color="auto" w:fill="auto"/>
            <w:vAlign w:val="center"/>
          </w:tcPr>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加强污染物排放治理，强化渔业资源调查和监测，建立和完善渔业水域污染事故应急处置制度。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rPr>
              <w:t>资源开发利用效率要求</w:t>
            </w:r>
          </w:p>
        </w:tc>
        <w:tc>
          <w:tcPr>
            <w:tcW w:w="8939" w:type="dxa"/>
            <w:shd w:val="clear" w:color="auto" w:fill="auto"/>
            <w:vAlign w:val="center"/>
          </w:tcPr>
          <w:p>
            <w:pPr>
              <w:numPr>
                <w:ilvl w:val="255"/>
                <w:numId w:val="0"/>
              </w:numPr>
              <w:adjustRightInd w:val="0"/>
              <w:snapToGrid w:val="0"/>
              <w:rPr>
                <w:rFonts w:ascii="Times New Roman" w:hAnsi="Times New Roman" w:cs="Times New Roman"/>
                <w:szCs w:val="21"/>
              </w:rPr>
            </w:pPr>
            <w:r>
              <w:rPr>
                <w:rFonts w:ascii="Times New Roman" w:hAnsi="Times New Roman" w:eastAsia="宋体" w:cs="Times New Roman"/>
                <w:kern w:val="0"/>
                <w:szCs w:val="21"/>
              </w:rPr>
              <w:t>海上风电开发利用要符合相应能源规划和国土空间规划的要求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HY45070030003</w:t>
            </w:r>
          </w:p>
        </w:tc>
        <w:tc>
          <w:tcPr>
            <w:tcW w:w="1984" w:type="dxa"/>
            <w:vMerge w:val="restart"/>
            <w:shd w:val="clear" w:color="auto" w:fill="auto"/>
            <w:vAlign w:val="center"/>
          </w:tcPr>
          <w:p>
            <w:pPr>
              <w:widowControl/>
              <w:rPr>
                <w:rFonts w:ascii="Times New Roman" w:hAnsi="Times New Roman" w:cs="Times New Roman"/>
                <w:kern w:val="0"/>
                <w:szCs w:val="21"/>
              </w:rPr>
            </w:pPr>
            <w:r>
              <w:rPr>
                <w:rFonts w:ascii="Times New Roman" w:hAnsi="Times New Roman" w:eastAsia="宋体" w:cs="Times New Roman"/>
                <w:kern w:val="0"/>
                <w:szCs w:val="21"/>
              </w:rPr>
              <w:t>广西近海南部农渔业区（钦州市）（广西近海南部渔业用海区）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一般管控单元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pStyle w:val="31"/>
              <w:numPr>
                <w:ilvl w:val="0"/>
                <w:numId w:val="11"/>
              </w:numPr>
              <w:rPr>
                <w:rFonts w:eastAsiaTheme="minorEastAsia"/>
              </w:rPr>
            </w:pPr>
            <w:r>
              <w:rPr>
                <w:rFonts w:eastAsiaTheme="minorEastAsia"/>
              </w:rPr>
              <w:t>海域基本功能为渔业用海，允许在论证基础上安排与渔业相兼容的开发活动。</w:t>
            </w:r>
          </w:p>
          <w:p>
            <w:pPr>
              <w:pStyle w:val="31"/>
              <w:numPr>
                <w:ilvl w:val="0"/>
                <w:numId w:val="11"/>
              </w:numPr>
              <w:rPr>
                <w:rFonts w:eastAsiaTheme="minorEastAsia"/>
              </w:rPr>
            </w:pPr>
            <w:r>
              <w:rPr>
                <w:rFonts w:eastAsiaTheme="minorEastAsia"/>
              </w:rPr>
              <w:t>锚地和人工鱼礁建设应征求相关部门的意见。除人工鱼礁建设、航道改扩建、锚地和倾废区的选划外，不得改变海域自然属性。</w:t>
            </w:r>
          </w:p>
          <w:p>
            <w:pPr>
              <w:pStyle w:val="31"/>
              <w:numPr>
                <w:ilvl w:val="0"/>
                <w:numId w:val="11"/>
              </w:numPr>
            </w:pPr>
            <w:r>
              <w:rPr>
                <w:rFonts w:eastAsiaTheme="minorEastAsia"/>
              </w:rPr>
              <w:t>优化</w:t>
            </w:r>
            <w:r>
              <w:t>养殖发展</w:t>
            </w:r>
            <w:r>
              <w:rPr>
                <w:rFonts w:eastAsiaTheme="minorEastAsia"/>
              </w:rPr>
              <w:t>布局，按照养殖容量控制养殖规模和养殖密度，发展健康、生态养殖方式。禁渔期间，禁止底拖网渔船和拖虾渔船及捕捞二长棘鲷幼鱼和幼虾为主的其它作业渔船进入生产。调整与清理影响生态环境和航行安全的养殖方式。1~7月为蓝圆鲹或二长棘鲷产卵期，加强对蓝圆鲹和二长棘鲷产卵场的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pStyle w:val="31"/>
              <w:rPr>
                <w:shd w:val="clear" w:color="auto" w:fill="FFFFFF"/>
              </w:rPr>
            </w:pPr>
            <w:r>
              <w:t>1、船舶排放含油污水、生活污水，应当符合船舶污染物排放标准。船舶的残油、废油应当回收，禁止排入水体。禁止向水体倾倒船舶垃圾。禁止排放不符合规定的船舶压载水。</w:t>
            </w:r>
          </w:p>
          <w:p>
            <w:pPr>
              <w:pStyle w:val="31"/>
              <w:rPr>
                <w:rFonts w:eastAsia="Helvetica"/>
                <w:shd w:val="clear" w:color="auto" w:fill="FFFFFF"/>
              </w:rPr>
            </w:pPr>
            <w:r>
              <w:rPr>
                <w:shd w:val="clear" w:color="auto" w:fill="FFFFFF"/>
              </w:rPr>
              <w:t>2、</w:t>
            </w:r>
            <w:r>
              <w:rPr>
                <w:rFonts w:eastAsia="Helvetica"/>
                <w:shd w:val="clear" w:color="auto" w:fill="FFFFFF"/>
              </w:rPr>
              <w:t>从事养殖生产不得使用含有毒有害物质的饵料、饲料。科学确定养殖密度，合理投饵、施肥、使用药物，</w:t>
            </w:r>
            <w:r>
              <w:t>养殖排放水应符合相关规定，</w:t>
            </w:r>
            <w:r>
              <w:rPr>
                <w:rFonts w:eastAsia="Helvetica"/>
                <w:shd w:val="clear" w:color="auto" w:fill="FFFFFF"/>
              </w:rPr>
              <w:t>不得造成水域的环境污染。</w:t>
            </w:r>
          </w:p>
          <w:p>
            <w:pPr>
              <w:pStyle w:val="31"/>
            </w:pPr>
            <w:r>
              <w:rPr>
                <w:rFonts w:eastAsiaTheme="minorEastAsia"/>
              </w:rPr>
              <w:t>3、严格控制国控监测点海水水质不劣于二类标准。航道和锚地执行相关法律法规规定的水质标准。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rPr>
              <w:t>环境风险防控</w:t>
            </w:r>
          </w:p>
        </w:tc>
        <w:tc>
          <w:tcPr>
            <w:tcW w:w="8939" w:type="dxa"/>
            <w:shd w:val="clear" w:color="auto" w:fill="auto"/>
            <w:vAlign w:val="center"/>
          </w:tcPr>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加强污染物排放治理，强化渔业资源调查和监测，建立和完善渔业水域污染事故应急处置制度。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rPr>
              <w:t>资源开发利用效率要求</w:t>
            </w:r>
          </w:p>
        </w:tc>
        <w:tc>
          <w:tcPr>
            <w:tcW w:w="8939" w:type="dxa"/>
            <w:shd w:val="clear" w:color="auto" w:fill="auto"/>
            <w:vAlign w:val="center"/>
          </w:tcPr>
          <w:p>
            <w:pPr>
              <w:numPr>
                <w:ilvl w:val="255"/>
                <w:numId w:val="0"/>
              </w:numPr>
              <w:adjustRightInd w:val="0"/>
              <w:snapToGrid w:val="0"/>
              <w:rPr>
                <w:rFonts w:ascii="Times New Roman" w:hAnsi="Times New Roman" w:cs="Times New Roman"/>
                <w:szCs w:val="21"/>
              </w:rPr>
            </w:pPr>
            <w:r>
              <w:rPr>
                <w:rFonts w:ascii="Times New Roman" w:hAnsi="Times New Roman" w:eastAsia="宋体" w:cs="Times New Roman"/>
                <w:kern w:val="0"/>
                <w:szCs w:val="21"/>
              </w:rPr>
              <w:t>海上风电开发利用要符合相应能源规划和国土空间规划的要求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HY45070030004</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鹿耳环至三娘湾旅游休闲娱乐区（鹿耳环至三娘湾旅游游憩用海区）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一般管控单元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numPr>
                <w:ilvl w:val="0"/>
                <w:numId w:val="12"/>
              </w:numPr>
              <w:adjustRightInd w:val="0"/>
              <w:snapToGrid w:val="0"/>
              <w:rPr>
                <w:rFonts w:ascii="Times New Roman" w:hAnsi="Times New Roman" w:cs="Times New Roman"/>
                <w:szCs w:val="21"/>
              </w:rPr>
            </w:pPr>
            <w:r>
              <w:rPr>
                <w:rFonts w:ascii="Times New Roman" w:hAnsi="Times New Roman" w:cs="Times New Roman"/>
                <w:szCs w:val="21"/>
              </w:rPr>
              <w:t>海岸基本功能为旅游娱乐用海，开发利用方向为旅游度假、娱乐休闲、海上游乐运动和观光游览等，保护犀牛角渔港用海。</w:t>
            </w:r>
          </w:p>
          <w:p>
            <w:pPr>
              <w:numPr>
                <w:ilvl w:val="0"/>
                <w:numId w:val="12"/>
              </w:numPr>
              <w:adjustRightInd w:val="0"/>
              <w:snapToGrid w:val="0"/>
              <w:rPr>
                <w:rFonts w:ascii="Times New Roman" w:hAnsi="Times New Roman" w:cs="Times New Roman"/>
                <w:szCs w:val="21"/>
              </w:rPr>
            </w:pPr>
            <w:r>
              <w:rPr>
                <w:rFonts w:ascii="Times New Roman" w:hAnsi="Times New Roman" w:cs="Times New Roman"/>
                <w:szCs w:val="21"/>
              </w:rPr>
              <w:t>禁止围填海。合理控制旅游开发强度，完善旅游基础设施建设。构筑物建设应与旅游景观发展相协调。保护海岛和沙滩旅游资源。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严格实行污水达标排放和生活垃圾科学处置，</w:t>
            </w:r>
            <w:r>
              <w:rPr>
                <w:rFonts w:ascii="Times New Roman" w:hAnsi="Times New Roman" w:cs="Times New Roman"/>
              </w:rPr>
              <w:t>禁止直接排海，</w:t>
            </w:r>
            <w:r>
              <w:rPr>
                <w:rFonts w:ascii="Times New Roman" w:hAnsi="Times New Roman" w:cs="Times New Roman"/>
                <w:szCs w:val="21"/>
              </w:rPr>
              <w:t>开展鹿耳环江海域的整治，修复其水动力环境。</w:t>
            </w:r>
            <w:r>
              <w:rPr>
                <w:rFonts w:ascii="Times New Roman" w:hAnsi="Times New Roman" w:cs="Times New Roman"/>
              </w:rPr>
              <w:t>污禁止直接排海，加强定期海域水质监测。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HY45070030005</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钦州湾东南部农渔业区（钦州湾东南部渔业用海区）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一般管控单元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numPr>
                <w:ilvl w:val="0"/>
                <w:numId w:val="13"/>
              </w:numPr>
              <w:adjustRightInd w:val="0"/>
              <w:snapToGrid w:val="0"/>
              <w:rPr>
                <w:rFonts w:ascii="Times New Roman" w:hAnsi="Times New Roman" w:cs="Times New Roman"/>
                <w:szCs w:val="21"/>
              </w:rPr>
            </w:pPr>
            <w:r>
              <w:rPr>
                <w:rFonts w:ascii="Times New Roman" w:hAnsi="Times New Roman" w:cs="Times New Roman"/>
                <w:szCs w:val="21"/>
              </w:rPr>
              <w:t>海域基本功能为渔业用海，允许在论证基础上，安排与渔业相兼容的开发活动。</w:t>
            </w:r>
          </w:p>
          <w:p>
            <w:pPr>
              <w:numPr>
                <w:ilvl w:val="0"/>
                <w:numId w:val="13"/>
              </w:numPr>
              <w:adjustRightInd w:val="0"/>
              <w:snapToGrid w:val="0"/>
              <w:rPr>
                <w:rFonts w:ascii="Times New Roman" w:hAnsi="Times New Roman" w:cs="Times New Roman"/>
                <w:szCs w:val="21"/>
              </w:rPr>
            </w:pPr>
            <w:r>
              <w:rPr>
                <w:rFonts w:ascii="Times New Roman" w:hAnsi="Times New Roman" w:cs="Times New Roman"/>
                <w:szCs w:val="21"/>
              </w:rPr>
              <w:t>严格限制改变海域自然属性。</w:t>
            </w:r>
            <w:r>
              <w:rPr>
                <w:rFonts w:ascii="Times New Roman" w:hAnsi="Times New Roman" w:cs="Times New Roman"/>
              </w:rPr>
              <w:t>优化养殖发展布局，</w:t>
            </w:r>
            <w:r>
              <w:rPr>
                <w:rFonts w:ascii="Times New Roman" w:hAnsi="Times New Roman" w:cs="Times New Roman"/>
                <w:szCs w:val="21"/>
              </w:rPr>
              <w:t>按照养殖容量控制养殖规模和养殖密度，发展健康、生态养殖方式。禁渔期间，禁止底拖网渔船和拖虾渔船及捕捞二长棘鲷幼鱼和幼虾为主的其它作业渔船进入生产。</w:t>
            </w:r>
          </w:p>
          <w:p>
            <w:pPr>
              <w:numPr>
                <w:ilvl w:val="0"/>
                <w:numId w:val="13"/>
              </w:numPr>
              <w:adjustRightInd w:val="0"/>
              <w:snapToGrid w:val="0"/>
              <w:rPr>
                <w:rFonts w:ascii="Times New Roman" w:hAnsi="Times New Roman" w:cs="Times New Roman"/>
                <w:szCs w:val="21"/>
              </w:rPr>
            </w:pPr>
            <w:r>
              <w:rPr>
                <w:rFonts w:ascii="Times New Roman" w:hAnsi="Times New Roman" w:cs="Times New Roman"/>
                <w:szCs w:val="21"/>
              </w:rPr>
              <w:t>禁止影响航道安全的养殖活动。规划区南侧边界向北7km，西侧边界向东5km范围内不得进行鱼排、鱼栅、人工鱼礁等活动。清理影响生态环境和航行安全的养殖活动。1~7月为蓝圆鲹或二长棘鲷产卵期，加强对蓝圆鲹和二长棘鲷产卵场的保护。加强白海豚生境的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pStyle w:val="31"/>
            </w:pPr>
            <w:r>
              <w:t>1、船舶排放含油污水、生活污水，应当符合船舶污染物排放标准。船舶的残油、废油应当回收，禁止排入水体。禁止向水体倾倒船舶垃圾。禁止排放不符合规定的船舶压载水。</w:t>
            </w:r>
          </w:p>
          <w:p>
            <w:pPr>
              <w:pStyle w:val="31"/>
            </w:pPr>
            <w:r>
              <w:t>2、从事养殖生产不得使用含有毒有害物质的饵料、饲料。科学确定养殖密度，合理投饵、施肥、使用药物，养殖排放水应符合相关规定，不得造成水域的环境污染。</w:t>
            </w:r>
          </w:p>
          <w:p>
            <w:pPr>
              <w:pStyle w:val="31"/>
            </w:pPr>
            <w:r>
              <w:t>3、严格控制国控监测点海水水质不劣于二类标准。航道和锚地执行相关法律法规规定的水质标准。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HY45070030006</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钦州湾外湾农渔业区（钦州市）（钦州湾外湾渔业用海区）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一般管控单元</w:t>
            </w: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空间布局约束</w:t>
            </w:r>
          </w:p>
        </w:tc>
        <w:tc>
          <w:tcPr>
            <w:tcW w:w="8939" w:type="dxa"/>
            <w:shd w:val="clear" w:color="auto" w:fill="auto"/>
            <w:vAlign w:val="center"/>
          </w:tcPr>
          <w:p>
            <w:pPr>
              <w:numPr>
                <w:ilvl w:val="0"/>
                <w:numId w:val="14"/>
              </w:numPr>
              <w:adjustRightInd w:val="0"/>
              <w:snapToGrid w:val="0"/>
              <w:rPr>
                <w:rFonts w:ascii="Times New Roman" w:hAnsi="Times New Roman" w:cs="Times New Roman"/>
                <w:szCs w:val="21"/>
              </w:rPr>
            </w:pPr>
            <w:r>
              <w:rPr>
                <w:rFonts w:ascii="Times New Roman" w:hAnsi="Times New Roman" w:cs="Times New Roman"/>
                <w:szCs w:val="21"/>
              </w:rPr>
              <w:t>海域基本功能为渔业用海，允许在论证基础上，安排与渔业相兼容的开发活动。</w:t>
            </w:r>
          </w:p>
          <w:p>
            <w:pPr>
              <w:numPr>
                <w:ilvl w:val="0"/>
                <w:numId w:val="14"/>
              </w:numPr>
              <w:adjustRightInd w:val="0"/>
              <w:snapToGrid w:val="0"/>
              <w:rPr>
                <w:rFonts w:ascii="Times New Roman" w:hAnsi="Times New Roman" w:cs="Times New Roman"/>
                <w:szCs w:val="21"/>
              </w:rPr>
            </w:pPr>
            <w:r>
              <w:rPr>
                <w:rFonts w:ascii="Times New Roman" w:hAnsi="Times New Roman" w:cs="Times New Roman"/>
                <w:szCs w:val="21"/>
              </w:rPr>
              <w:t>严格限制改变海域自然属性。</w:t>
            </w:r>
            <w:r>
              <w:rPr>
                <w:rFonts w:ascii="Times New Roman" w:hAnsi="Times New Roman" w:cs="Times New Roman"/>
              </w:rPr>
              <w:t>优化养殖发展布局，</w:t>
            </w:r>
            <w:r>
              <w:rPr>
                <w:rFonts w:ascii="Times New Roman" w:hAnsi="Times New Roman" w:cs="Times New Roman"/>
                <w:szCs w:val="21"/>
              </w:rPr>
              <w:t>按照养殖容量控制养殖规模和养殖密度，发展健康、生态养殖方式。禁渔期间，禁止底拖网渔船和拖虾渔船及捕捞二长棘鲷幼鱼和幼虾为主的其它作业渔船进入生产。</w:t>
            </w:r>
          </w:p>
          <w:p>
            <w:pPr>
              <w:numPr>
                <w:ilvl w:val="0"/>
                <w:numId w:val="14"/>
              </w:numPr>
              <w:adjustRightInd w:val="0"/>
              <w:snapToGrid w:val="0"/>
              <w:rPr>
                <w:rFonts w:ascii="Times New Roman" w:hAnsi="Times New Roman" w:cs="Times New Roman"/>
                <w:szCs w:val="21"/>
              </w:rPr>
            </w:pPr>
            <w:r>
              <w:rPr>
                <w:rFonts w:ascii="Times New Roman" w:hAnsi="Times New Roman" w:cs="Times New Roman"/>
                <w:szCs w:val="21"/>
              </w:rPr>
              <w:t>禁止影响航道安全的养殖活动。该区南侧边界向北7km范围内不得进行鱼排、鱼栅、人工鱼礁、围海等活动。清理影响生态环境和航行安全的养殖活动。1~7月为蓝圆鲹或二长棘鲷产卵期，加强对蓝圆鲹和二长棘鲷产卵场的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污染物排放管控</w:t>
            </w:r>
          </w:p>
        </w:tc>
        <w:tc>
          <w:tcPr>
            <w:tcW w:w="8939"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1、防城港核电厂废水影响区域，应按照批复文件执行相应的海洋环境质量标准。</w:t>
            </w:r>
          </w:p>
          <w:p>
            <w:pPr>
              <w:adjustRightInd w:val="0"/>
              <w:snapToGrid w:val="0"/>
              <w:rPr>
                <w:rFonts w:ascii="Times New Roman" w:hAnsi="Times New Roman" w:cs="Times New Roman"/>
                <w:szCs w:val="21"/>
              </w:rPr>
            </w:pPr>
            <w:r>
              <w:rPr>
                <w:rFonts w:ascii="Times New Roman" w:hAnsi="Times New Roman" w:cs="Times New Roman"/>
                <w:szCs w:val="21"/>
              </w:rPr>
              <w:t>2、船舶排放含油污水、生活污水，应当符合船舶污染物排放标准。船舶的残油、废油应当回收，禁止排入水体。禁止向水体倾倒船舶垃圾。禁止排放不符合规定的船舶压载水。</w:t>
            </w:r>
          </w:p>
          <w:p>
            <w:pPr>
              <w:pStyle w:val="31"/>
              <w:rPr>
                <w:shd w:val="clear" w:color="auto" w:fill="FFFFFF"/>
              </w:rPr>
            </w:pPr>
            <w:r>
              <w:rPr>
                <w:shd w:val="clear" w:color="auto" w:fill="FFFFFF"/>
              </w:rPr>
              <w:t>3、从事养殖生产不得使用含有毒有害物质的饵料、饲料。科学确定养殖密度，合理投饵、施肥、使用药物，养殖排放水应符合相关规定，不得造成水域的环境污染。</w:t>
            </w:r>
          </w:p>
          <w:p>
            <w:pPr>
              <w:adjustRightInd w:val="0"/>
              <w:snapToGrid w:val="0"/>
              <w:rPr>
                <w:rFonts w:ascii="Times New Roman" w:hAnsi="Times New Roman" w:cs="Times New Roman"/>
                <w:szCs w:val="21"/>
              </w:rPr>
            </w:pPr>
            <w:r>
              <w:rPr>
                <w:rFonts w:ascii="Times New Roman" w:hAnsi="Times New Roman" w:eastAsia="宋体" w:cs="Times New Roman"/>
                <w:szCs w:val="21"/>
                <w:shd w:val="clear" w:color="auto" w:fill="FFFFFF"/>
              </w:rPr>
              <w:t>4、</w:t>
            </w:r>
            <w:r>
              <w:rPr>
                <w:rFonts w:ascii="Times New Roman" w:hAnsi="Times New Roman" w:eastAsia="宋体" w:cs="Times New Roman"/>
                <w:shd w:val="clear" w:color="auto" w:fill="FFFFFF"/>
              </w:rPr>
              <w:t>严格控制国控监测点海水水质不劣于二类标准。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rPr>
              <w:t>环境风险防控</w:t>
            </w:r>
          </w:p>
        </w:tc>
        <w:tc>
          <w:tcPr>
            <w:tcW w:w="8939" w:type="dxa"/>
            <w:shd w:val="clear" w:color="auto" w:fill="auto"/>
            <w:vAlign w:val="center"/>
          </w:tcPr>
          <w:p>
            <w:pPr>
              <w:numPr>
                <w:ilvl w:val="255"/>
                <w:numId w:val="0"/>
              </w:numPr>
              <w:adjustRightInd w:val="0"/>
              <w:snapToGrid w:val="0"/>
              <w:rPr>
                <w:rFonts w:ascii="Times New Roman" w:hAnsi="Times New Roman" w:cs="Times New Roman"/>
                <w:szCs w:val="21"/>
              </w:rPr>
            </w:pPr>
            <w:r>
              <w:rPr>
                <w:rFonts w:ascii="Times New Roman" w:hAnsi="Times New Roman" w:cs="Times New Roman"/>
                <w:szCs w:val="21"/>
              </w:rPr>
              <w:t>加强污染物排放治理，强化渔业资源调查和监测，建立和完善渔业水域污染事故应急处置制度。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rPr>
              <w:t>资源开发利用效率要求</w:t>
            </w:r>
          </w:p>
        </w:tc>
        <w:tc>
          <w:tcPr>
            <w:tcW w:w="8939" w:type="dxa"/>
            <w:shd w:val="clear" w:color="auto" w:fill="auto"/>
            <w:vAlign w:val="center"/>
          </w:tcPr>
          <w:p>
            <w:pPr>
              <w:numPr>
                <w:ilvl w:val="255"/>
                <w:numId w:val="0"/>
              </w:numPr>
              <w:adjustRightInd w:val="0"/>
              <w:snapToGrid w:val="0"/>
              <w:rPr>
                <w:rFonts w:ascii="Times New Roman" w:hAnsi="Times New Roman" w:cs="Times New Roman"/>
                <w:szCs w:val="21"/>
              </w:rPr>
            </w:pPr>
            <w:r>
              <w:rPr>
                <w:rFonts w:ascii="Times New Roman" w:hAnsi="Times New Roman" w:eastAsia="宋体" w:cs="Times New Roman"/>
                <w:kern w:val="0"/>
                <w:szCs w:val="21"/>
              </w:rPr>
              <w:t>海上风电开发利用要符合相应能源规划和国土空间规划的要求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zCs w:val="21"/>
              </w:rPr>
              <w:t>HY45070030007</w:t>
            </w:r>
          </w:p>
        </w:tc>
        <w:tc>
          <w:tcPr>
            <w:tcW w:w="1984" w:type="dxa"/>
            <w:vMerge w:val="restart"/>
            <w:shd w:val="clear" w:color="auto" w:fill="auto"/>
            <w:vAlign w:val="center"/>
          </w:tcPr>
          <w:p>
            <w:pPr>
              <w:adjustRightInd w:val="0"/>
              <w:snapToGrid w:val="0"/>
              <w:rPr>
                <w:rFonts w:ascii="Times New Roman" w:hAnsi="Times New Roman" w:cs="Times New Roman"/>
                <w:szCs w:val="21"/>
              </w:rPr>
            </w:pPr>
            <w:r>
              <w:rPr>
                <w:rFonts w:ascii="Times New Roman" w:hAnsi="Times New Roman" w:eastAsia="宋体" w:cs="Times New Roman"/>
                <w:kern w:val="0"/>
                <w:szCs w:val="21"/>
              </w:rPr>
              <w:t>新管控边界扩大区域（钦州市）（新管控边界扩大海洋预留区）</w:t>
            </w:r>
          </w:p>
        </w:tc>
        <w:tc>
          <w:tcPr>
            <w:tcW w:w="1531" w:type="dxa"/>
            <w:vMerge w:val="restart"/>
            <w:shd w:val="clear" w:color="auto" w:fill="auto"/>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一般管控单元</w:t>
            </w:r>
          </w:p>
        </w:tc>
        <w:tc>
          <w:tcPr>
            <w:tcW w:w="723" w:type="dxa"/>
            <w:shd w:val="clear" w:color="auto" w:fill="auto"/>
            <w:vAlign w:val="center"/>
          </w:tcPr>
          <w:p>
            <w:pPr>
              <w:pStyle w:val="31"/>
            </w:pPr>
            <w:r>
              <w:rPr>
                <w:rFonts w:eastAsiaTheme="minorEastAsia"/>
              </w:rPr>
              <w:t>空间布局约束</w:t>
            </w:r>
          </w:p>
        </w:tc>
        <w:tc>
          <w:tcPr>
            <w:tcW w:w="8939" w:type="dxa"/>
            <w:shd w:val="clear" w:color="auto" w:fill="auto"/>
            <w:vAlign w:val="center"/>
          </w:tcPr>
          <w:p>
            <w:pPr>
              <w:pStyle w:val="31"/>
            </w:pPr>
            <w:r>
              <w:rPr>
                <w:rFonts w:eastAsiaTheme="minorEastAsia"/>
              </w:rPr>
              <w:t>在严格科学论证的基础上，为保护和修复海域地形地貌的活动外，严格控制其他改变海域自然属性的开发利用方式。</w:t>
            </w:r>
            <w:r>
              <w:rPr>
                <w:rFonts w:eastAsiaTheme="minorEastAsia"/>
                <w:szCs w:val="24"/>
              </w:rPr>
              <w:t>严控新增围填海造地，完善围填海总量管控；除国家重大战略项目外，全面停止新增围填海项目审批。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pStyle w:val="31"/>
            </w:pPr>
            <w:r>
              <w:rPr>
                <w:rFonts w:eastAsiaTheme="minorEastAsia"/>
              </w:rPr>
              <w:t>污染物排放管控</w:t>
            </w:r>
          </w:p>
        </w:tc>
        <w:tc>
          <w:tcPr>
            <w:tcW w:w="8939" w:type="dxa"/>
            <w:shd w:val="clear" w:color="auto" w:fill="auto"/>
            <w:vAlign w:val="center"/>
          </w:tcPr>
          <w:p>
            <w:pPr>
              <w:pStyle w:val="31"/>
            </w:pPr>
            <w:r>
              <w:rPr>
                <w:rFonts w:eastAsiaTheme="minorEastAsia"/>
              </w:rPr>
              <w:t>加强区域环境质量监测及污染监测，海域开发前基本保持所在海域环境质量现状水平。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984" w:type="dxa"/>
            <w:vMerge w:val="continue"/>
            <w:shd w:val="clear" w:color="auto" w:fill="auto"/>
            <w:vAlign w:val="center"/>
          </w:tcPr>
          <w:p>
            <w:pPr>
              <w:adjustRightInd w:val="0"/>
              <w:snapToGrid w:val="0"/>
              <w:rPr>
                <w:rFonts w:ascii="Times New Roman" w:hAnsi="Times New Roman" w:cs="Times New Roman"/>
                <w:szCs w:val="21"/>
              </w:rPr>
            </w:pPr>
          </w:p>
        </w:tc>
        <w:tc>
          <w:tcPr>
            <w:tcW w:w="1531" w:type="dxa"/>
            <w:vMerge w:val="continue"/>
            <w:shd w:val="clear" w:color="auto" w:fill="auto"/>
            <w:vAlign w:val="center"/>
          </w:tcPr>
          <w:p>
            <w:pPr>
              <w:adjustRightInd w:val="0"/>
              <w:snapToGrid w:val="0"/>
              <w:jc w:val="center"/>
              <w:rPr>
                <w:rFonts w:ascii="Times New Roman" w:hAnsi="Times New Roman" w:cs="Times New Roman"/>
                <w:szCs w:val="21"/>
              </w:rPr>
            </w:pPr>
          </w:p>
        </w:tc>
        <w:tc>
          <w:tcPr>
            <w:tcW w:w="723" w:type="dxa"/>
            <w:shd w:val="clear" w:color="auto" w:fill="auto"/>
            <w:vAlign w:val="center"/>
          </w:tcPr>
          <w:p>
            <w:pPr>
              <w:pStyle w:val="31"/>
            </w:pPr>
            <w:r>
              <w:rPr>
                <w:rFonts w:eastAsiaTheme="minorEastAsia"/>
              </w:rPr>
              <w:t>资源开发利用效率要求</w:t>
            </w:r>
          </w:p>
        </w:tc>
        <w:tc>
          <w:tcPr>
            <w:tcW w:w="8939" w:type="dxa"/>
            <w:shd w:val="clear" w:color="auto" w:fill="auto"/>
            <w:vAlign w:val="center"/>
          </w:tcPr>
          <w:p>
            <w:pPr>
              <w:pStyle w:val="31"/>
              <w:rPr>
                <w:rFonts w:eastAsiaTheme="minorEastAsia"/>
              </w:rPr>
            </w:pPr>
            <w:r>
              <w:rPr>
                <w:kern w:val="0"/>
              </w:rPr>
              <w:t>海上风电开发利用要符合相应能源规划和国土空间规划的要求</w:t>
            </w:r>
          </w:p>
        </w:tc>
      </w:tr>
    </w:tbl>
    <w:p>
      <w:pPr>
        <w:pStyle w:val="29"/>
        <w:outlineLvl w:val="1"/>
        <w:rPr>
          <w:b/>
          <w:bCs/>
          <w:sz w:val="32"/>
          <w:szCs w:val="32"/>
        </w:rPr>
      </w:pPr>
    </w:p>
    <w:p>
      <w:pPr>
        <w:rPr>
          <w:rFonts w:ascii="Times New Roman" w:hAnsi="Times New Roman" w:cs="Times New Roman"/>
        </w:rPr>
      </w:pPr>
    </w:p>
    <w:p>
      <w:pPr>
        <w:rPr>
          <w:rFonts w:ascii="Times New Roman" w:hAnsi="Times New Roman" w:cs="Times New Roman"/>
        </w:rPr>
      </w:pPr>
    </w:p>
    <w:sectPr>
      <w:footerReference r:id="rId7" w:type="default"/>
      <w:pgSz w:w="16838" w:h="11906" w:orient="landscape"/>
      <w:pgMar w:top="1134" w:right="1134" w:bottom="1134" w:left="1134"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Arial">
    <w:altName w:val="Nimbus Roman No9 L"/>
    <w:panose1 w:val="020B0604020202020204"/>
    <w:charset w:val="00"/>
    <w:family w:val="swiss"/>
    <w:pitch w:val="default"/>
    <w:sig w:usb0="00000000" w:usb1="00000000" w:usb2="00000009" w:usb3="00000000" w:csb0="000001FF" w:csb1="00000000"/>
  </w:font>
  <w:font w:name="新宋体">
    <w:altName w:val="方正书宋_GBK"/>
    <w:panose1 w:val="02010609030101010101"/>
    <w:charset w:val="86"/>
    <w:family w:val="modern"/>
    <w:pitch w:val="default"/>
    <w:sig w:usb0="00000000" w:usb1="00000000" w:usb2="00000006" w:usb3="00000000" w:csb0="00040001" w:csb1="00000000"/>
  </w:font>
  <w:font w:name="Calibri Light">
    <w:altName w:val="DejaVu Sans"/>
    <w:panose1 w:val="020F0302020204030204"/>
    <w:charset w:val="00"/>
    <w:family w:val="swiss"/>
    <w:pitch w:val="default"/>
    <w:sig w:usb0="00000000" w:usb1="00000000" w:usb2="00000000" w:usb3="00000000" w:csb0="0000019F" w:csb1="00000000"/>
  </w:font>
  <w:font w:name="方正仿宋_GBK">
    <w:panose1 w:val="02000000000000000000"/>
    <w:charset w:val="86"/>
    <w:family w:val="script"/>
    <w:pitch w:val="default"/>
    <w:sig w:usb0="00000001" w:usb1="08000000" w:usb2="00000000" w:usb3="00000000" w:csb0="00040000" w:csb1="00000000"/>
  </w:font>
  <w:font w:name="Helvetica">
    <w:altName w:val="汉仪君黑-35简"/>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汉仪君黑-35简">
    <w:panose1 w:val="020B0604020202020204"/>
    <w:charset w:val="86"/>
    <w:family w:val="auto"/>
    <w:pitch w:val="default"/>
    <w:sig w:usb0="A00002BF" w:usb1="0ACF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0891441"/>
    </w:sdtPr>
    <w:sdtContent>
      <w:p>
        <w:pPr>
          <w:pStyle w:val="10"/>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II</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szCs w:val="22"/>
      </w:rPr>
      <w:id w:val="411521651"/>
    </w:sdtPr>
    <w:sdtEndPr>
      <w:rPr>
        <w:rFonts w:ascii="Calibri" w:hAnsi="Calibri" w:eastAsia="宋体" w:cs="Times New Roman"/>
        <w:sz w:val="18"/>
        <w:szCs w:val="18"/>
      </w:rPr>
    </w:sdtEndPr>
    <w:sdtContent>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t xml:space="preserve">- </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PAGE   \* MERGEFORMAT</w:instrText>
        </w:r>
        <w:r>
          <w:rPr>
            <w:rFonts w:ascii="Times New Roman" w:hAnsi="Times New Roman" w:eastAsia="宋体" w:cs="Times New Roman"/>
            <w:szCs w:val="21"/>
          </w:rPr>
          <w:fldChar w:fldCharType="separate"/>
        </w:r>
        <w:r>
          <w:rPr>
            <w:rFonts w:ascii="Times New Roman" w:hAnsi="Times New Roman" w:eastAsia="宋体" w:cs="Times New Roman"/>
            <w:szCs w:val="21"/>
            <w:lang w:val="zh-CN"/>
          </w:rPr>
          <w:t>218</w:t>
        </w:r>
        <w:r>
          <w:rPr>
            <w:rFonts w:ascii="Times New Roman" w:hAnsi="Times New Roman" w:eastAsia="宋体" w:cs="Times New Roman"/>
            <w:szCs w:val="21"/>
          </w:rPr>
          <w:fldChar w:fldCharType="end"/>
        </w:r>
        <w:r>
          <w:rPr>
            <w:rFonts w:ascii="Times New Roman" w:hAnsi="Times New Roman" w:eastAsia="宋体" w:cs="Times New Roman"/>
            <w:szCs w:val="21"/>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0"/>
      </w:rPr>
    </w:pPr>
    <w:r>
      <w:t xml:space="preserve">- </w:t>
    </w:r>
    <w:sdt>
      <w:sdtPr>
        <w:id w:val="1830087714"/>
      </w:sdtPr>
      <w:sdtEndPr>
        <w:rPr>
          <w:sz w:val="20"/>
        </w:rPr>
      </w:sdtEndPr>
      <w:sdtContent>
        <w:r>
          <w:rPr>
            <w:rFonts w:ascii="Times New Roman" w:hAnsi="Times New Roman" w:cs="Times New Roman"/>
            <w:sz w:val="20"/>
          </w:rPr>
          <w:fldChar w:fldCharType="begin"/>
        </w:r>
        <w:r>
          <w:rPr>
            <w:rFonts w:ascii="Times New Roman" w:hAnsi="Times New Roman" w:cs="Times New Roman"/>
            <w:sz w:val="20"/>
          </w:rPr>
          <w:instrText xml:space="preserve">PAGE   \* MERGEFORMAT</w:instrText>
        </w:r>
        <w:r>
          <w:rPr>
            <w:rFonts w:ascii="Times New Roman" w:hAnsi="Times New Roman" w:cs="Times New Roman"/>
            <w:sz w:val="20"/>
          </w:rPr>
          <w:fldChar w:fldCharType="separate"/>
        </w:r>
        <w:r>
          <w:rPr>
            <w:rFonts w:ascii="Times New Roman" w:hAnsi="Times New Roman" w:cs="Times New Roman"/>
            <w:sz w:val="20"/>
            <w:lang w:val="zh-CN"/>
          </w:rPr>
          <w:t>100</w:t>
        </w:r>
        <w:r>
          <w:rPr>
            <w:rFonts w:ascii="Times New Roman" w:hAnsi="Times New Roman" w:cs="Times New Roman"/>
            <w:sz w:val="20"/>
          </w:rPr>
          <w:fldChar w:fldCharType="end"/>
        </w:r>
        <w:r>
          <w:rPr>
            <w:rFonts w:ascii="Times New Roman" w:hAnsi="Times New Roman" w:cs="Times New Roman"/>
            <w:sz w:val="20"/>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0"/>
      </w:rPr>
    </w:pPr>
    <w:r>
      <w:rPr>
        <w:rFonts w:hint="eastAsia"/>
        <w:sz w:val="20"/>
      </w:rPr>
      <w:t>钦州市生态环境准入及管控要求清单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Calibri" w:hAnsi="Calibri" w:eastAsia="宋体" w:cs="Times New Roman"/>
        <w:sz w:val="20"/>
        <w:szCs w:val="18"/>
      </w:rPr>
    </w:pPr>
    <w:r>
      <w:rPr>
        <w:rFonts w:hint="eastAsia" w:ascii="Calibri" w:hAnsi="Calibri" w:eastAsia="宋体" w:cs="Times New Roman"/>
        <w:sz w:val="20"/>
        <w:szCs w:val="18"/>
      </w:rPr>
      <w:t>广西壮族自治区生态环境准入清单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989E5"/>
    <w:multiLevelType w:val="singleLevel"/>
    <w:tmpl w:val="802989E5"/>
    <w:lvl w:ilvl="0" w:tentative="0">
      <w:start w:val="1"/>
      <w:numFmt w:val="decimal"/>
      <w:suff w:val="nothing"/>
      <w:lvlText w:val="%1、"/>
      <w:lvlJc w:val="left"/>
    </w:lvl>
  </w:abstractNum>
  <w:abstractNum w:abstractNumId="1">
    <w:nsid w:val="8BC2C0E2"/>
    <w:multiLevelType w:val="singleLevel"/>
    <w:tmpl w:val="8BC2C0E2"/>
    <w:lvl w:ilvl="0" w:tentative="0">
      <w:start w:val="1"/>
      <w:numFmt w:val="decimal"/>
      <w:suff w:val="nothing"/>
      <w:lvlText w:val="%1、"/>
      <w:lvlJc w:val="left"/>
    </w:lvl>
  </w:abstractNum>
  <w:abstractNum w:abstractNumId="2">
    <w:nsid w:val="AA3FE946"/>
    <w:multiLevelType w:val="singleLevel"/>
    <w:tmpl w:val="AA3FE946"/>
    <w:lvl w:ilvl="0" w:tentative="0">
      <w:start w:val="1"/>
      <w:numFmt w:val="decimal"/>
      <w:suff w:val="space"/>
      <w:lvlText w:val="%1."/>
      <w:lvlJc w:val="left"/>
    </w:lvl>
  </w:abstractNum>
  <w:abstractNum w:abstractNumId="3">
    <w:nsid w:val="C6F49FFB"/>
    <w:multiLevelType w:val="singleLevel"/>
    <w:tmpl w:val="C6F49FFB"/>
    <w:lvl w:ilvl="0" w:tentative="0">
      <w:start w:val="1"/>
      <w:numFmt w:val="decimal"/>
      <w:suff w:val="nothing"/>
      <w:lvlText w:val="%1、"/>
      <w:lvlJc w:val="left"/>
    </w:lvl>
  </w:abstractNum>
  <w:abstractNum w:abstractNumId="4">
    <w:nsid w:val="E54BA8DC"/>
    <w:multiLevelType w:val="singleLevel"/>
    <w:tmpl w:val="E54BA8DC"/>
    <w:lvl w:ilvl="0" w:tentative="0">
      <w:start w:val="1"/>
      <w:numFmt w:val="decimal"/>
      <w:suff w:val="nothing"/>
      <w:lvlText w:val="%1、"/>
      <w:lvlJc w:val="left"/>
    </w:lvl>
  </w:abstractNum>
  <w:abstractNum w:abstractNumId="5">
    <w:nsid w:val="E5D14E07"/>
    <w:multiLevelType w:val="singleLevel"/>
    <w:tmpl w:val="E5D14E07"/>
    <w:lvl w:ilvl="0" w:tentative="0">
      <w:start w:val="1"/>
      <w:numFmt w:val="decimal"/>
      <w:suff w:val="space"/>
      <w:lvlText w:val="%1."/>
      <w:lvlJc w:val="left"/>
    </w:lvl>
  </w:abstractNum>
  <w:abstractNum w:abstractNumId="6">
    <w:nsid w:val="EB22D7EC"/>
    <w:multiLevelType w:val="singleLevel"/>
    <w:tmpl w:val="EB22D7EC"/>
    <w:lvl w:ilvl="0" w:tentative="0">
      <w:start w:val="1"/>
      <w:numFmt w:val="decimal"/>
      <w:suff w:val="space"/>
      <w:lvlText w:val="%1."/>
      <w:lvlJc w:val="left"/>
    </w:lvl>
  </w:abstractNum>
  <w:abstractNum w:abstractNumId="7">
    <w:nsid w:val="EFA41DC5"/>
    <w:multiLevelType w:val="singleLevel"/>
    <w:tmpl w:val="EFA41DC5"/>
    <w:lvl w:ilvl="0" w:tentative="0">
      <w:start w:val="1"/>
      <w:numFmt w:val="decimal"/>
      <w:suff w:val="nothing"/>
      <w:lvlText w:val="%1、"/>
      <w:lvlJc w:val="left"/>
    </w:lvl>
  </w:abstractNum>
  <w:abstractNum w:abstractNumId="8">
    <w:nsid w:val="FCA818F4"/>
    <w:multiLevelType w:val="singleLevel"/>
    <w:tmpl w:val="FCA818F4"/>
    <w:lvl w:ilvl="0" w:tentative="0">
      <w:start w:val="1"/>
      <w:numFmt w:val="decimal"/>
      <w:suff w:val="space"/>
      <w:lvlText w:val="%1."/>
      <w:lvlJc w:val="left"/>
    </w:lvl>
  </w:abstractNum>
  <w:abstractNum w:abstractNumId="9">
    <w:nsid w:val="055AE9A0"/>
    <w:multiLevelType w:val="singleLevel"/>
    <w:tmpl w:val="055AE9A0"/>
    <w:lvl w:ilvl="0" w:tentative="0">
      <w:start w:val="1"/>
      <w:numFmt w:val="decimal"/>
      <w:suff w:val="nothing"/>
      <w:lvlText w:val="%1、"/>
      <w:lvlJc w:val="left"/>
    </w:lvl>
  </w:abstractNum>
  <w:abstractNum w:abstractNumId="10">
    <w:nsid w:val="53EEEC5F"/>
    <w:multiLevelType w:val="singleLevel"/>
    <w:tmpl w:val="53EEEC5F"/>
    <w:lvl w:ilvl="0" w:tentative="0">
      <w:start w:val="1"/>
      <w:numFmt w:val="decimal"/>
      <w:suff w:val="nothing"/>
      <w:lvlText w:val="%1、"/>
      <w:lvlJc w:val="left"/>
    </w:lvl>
  </w:abstractNum>
  <w:abstractNum w:abstractNumId="11">
    <w:nsid w:val="59352C77"/>
    <w:multiLevelType w:val="singleLevel"/>
    <w:tmpl w:val="59352C77"/>
    <w:lvl w:ilvl="0" w:tentative="0">
      <w:start w:val="1"/>
      <w:numFmt w:val="decimal"/>
      <w:suff w:val="space"/>
      <w:lvlText w:val="%1."/>
      <w:lvlJc w:val="left"/>
    </w:lvl>
  </w:abstractNum>
  <w:abstractNum w:abstractNumId="12">
    <w:nsid w:val="64C46EAC"/>
    <w:multiLevelType w:val="singleLevel"/>
    <w:tmpl w:val="64C46EAC"/>
    <w:lvl w:ilvl="0" w:tentative="0">
      <w:start w:val="1"/>
      <w:numFmt w:val="decimal"/>
      <w:suff w:val="nothing"/>
      <w:lvlText w:val="%1、"/>
      <w:lvlJc w:val="left"/>
    </w:lvl>
  </w:abstractNum>
  <w:abstractNum w:abstractNumId="13">
    <w:nsid w:val="7EF0A6AD"/>
    <w:multiLevelType w:val="singleLevel"/>
    <w:tmpl w:val="7EF0A6AD"/>
    <w:lvl w:ilvl="0" w:tentative="0">
      <w:start w:val="1"/>
      <w:numFmt w:val="decimal"/>
      <w:suff w:val="nothing"/>
      <w:lvlText w:val="%1、"/>
      <w:lvlJc w:val="left"/>
    </w:lvl>
  </w:abstractNum>
  <w:num w:numId="1">
    <w:abstractNumId w:val="11"/>
  </w:num>
  <w:num w:numId="2">
    <w:abstractNumId w:val="6"/>
  </w:num>
  <w:num w:numId="3">
    <w:abstractNumId w:val="8"/>
  </w:num>
  <w:num w:numId="4">
    <w:abstractNumId w:val="5"/>
  </w:num>
  <w:num w:numId="5">
    <w:abstractNumId w:val="2"/>
  </w:num>
  <w:num w:numId="6">
    <w:abstractNumId w:val="3"/>
  </w:num>
  <w:num w:numId="7">
    <w:abstractNumId w:val="1"/>
  </w:num>
  <w:num w:numId="8">
    <w:abstractNumId w:val="7"/>
  </w:num>
  <w:num w:numId="9">
    <w:abstractNumId w:val="13"/>
  </w:num>
  <w:num w:numId="10">
    <w:abstractNumId w:val="0"/>
  </w:num>
  <w:num w:numId="11">
    <w:abstractNumId w:val="4"/>
  </w:num>
  <w:num w:numId="12">
    <w:abstractNumId w:val="1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9"/>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05F6"/>
    <w:rsid w:val="00022D78"/>
    <w:rsid w:val="000C7C90"/>
    <w:rsid w:val="00152F2E"/>
    <w:rsid w:val="001B6C77"/>
    <w:rsid w:val="00277F03"/>
    <w:rsid w:val="003353B5"/>
    <w:rsid w:val="00344F31"/>
    <w:rsid w:val="003A1C2C"/>
    <w:rsid w:val="004D4659"/>
    <w:rsid w:val="005154D2"/>
    <w:rsid w:val="00795479"/>
    <w:rsid w:val="007E05F6"/>
    <w:rsid w:val="00832BB7"/>
    <w:rsid w:val="00895650"/>
    <w:rsid w:val="009C33CF"/>
    <w:rsid w:val="00A2292D"/>
    <w:rsid w:val="00A40EA8"/>
    <w:rsid w:val="00B851E4"/>
    <w:rsid w:val="00C3796C"/>
    <w:rsid w:val="00C67C79"/>
    <w:rsid w:val="00C8607A"/>
    <w:rsid w:val="00D348D9"/>
    <w:rsid w:val="00DB5832"/>
    <w:rsid w:val="00DF4CC0"/>
    <w:rsid w:val="010E3393"/>
    <w:rsid w:val="01B57901"/>
    <w:rsid w:val="020D5FA4"/>
    <w:rsid w:val="020F1092"/>
    <w:rsid w:val="02353DC9"/>
    <w:rsid w:val="02DA163B"/>
    <w:rsid w:val="031A5ADA"/>
    <w:rsid w:val="03497D8F"/>
    <w:rsid w:val="036B45D9"/>
    <w:rsid w:val="039B0757"/>
    <w:rsid w:val="03DB3E7B"/>
    <w:rsid w:val="04831860"/>
    <w:rsid w:val="048A7928"/>
    <w:rsid w:val="05196DD3"/>
    <w:rsid w:val="05384578"/>
    <w:rsid w:val="0622513B"/>
    <w:rsid w:val="07336CF5"/>
    <w:rsid w:val="07E6264C"/>
    <w:rsid w:val="08086575"/>
    <w:rsid w:val="08AA0245"/>
    <w:rsid w:val="096B55DF"/>
    <w:rsid w:val="09C95694"/>
    <w:rsid w:val="09CF6A16"/>
    <w:rsid w:val="09E37801"/>
    <w:rsid w:val="0A1C0AD6"/>
    <w:rsid w:val="0CD70699"/>
    <w:rsid w:val="0D0B3B0A"/>
    <w:rsid w:val="0D7060F0"/>
    <w:rsid w:val="0E105903"/>
    <w:rsid w:val="0E7E5013"/>
    <w:rsid w:val="0EC15819"/>
    <w:rsid w:val="10F872CC"/>
    <w:rsid w:val="1131402E"/>
    <w:rsid w:val="114977C2"/>
    <w:rsid w:val="115305FD"/>
    <w:rsid w:val="117B696C"/>
    <w:rsid w:val="12825804"/>
    <w:rsid w:val="12E93B7C"/>
    <w:rsid w:val="13166A8A"/>
    <w:rsid w:val="13181BE3"/>
    <w:rsid w:val="134148CA"/>
    <w:rsid w:val="13E34BBE"/>
    <w:rsid w:val="14B01CE6"/>
    <w:rsid w:val="14EE4B2A"/>
    <w:rsid w:val="15A004D3"/>
    <w:rsid w:val="16195DE9"/>
    <w:rsid w:val="162B2A73"/>
    <w:rsid w:val="16654ADC"/>
    <w:rsid w:val="17205878"/>
    <w:rsid w:val="17856D6E"/>
    <w:rsid w:val="17FD2868"/>
    <w:rsid w:val="185E1AC5"/>
    <w:rsid w:val="18A82964"/>
    <w:rsid w:val="18F73DAE"/>
    <w:rsid w:val="19252429"/>
    <w:rsid w:val="19DE0BA4"/>
    <w:rsid w:val="1A7C0D90"/>
    <w:rsid w:val="1A7D1AFC"/>
    <w:rsid w:val="1A977B8E"/>
    <w:rsid w:val="1AE0211A"/>
    <w:rsid w:val="1B5B4110"/>
    <w:rsid w:val="1D2649AD"/>
    <w:rsid w:val="1D2B0F92"/>
    <w:rsid w:val="1D952DF5"/>
    <w:rsid w:val="1D9E5939"/>
    <w:rsid w:val="1E1D247B"/>
    <w:rsid w:val="1E841EA9"/>
    <w:rsid w:val="1E8FE45E"/>
    <w:rsid w:val="1F084046"/>
    <w:rsid w:val="1F1B0D32"/>
    <w:rsid w:val="200E2FF5"/>
    <w:rsid w:val="201F77F7"/>
    <w:rsid w:val="2052475C"/>
    <w:rsid w:val="208B0181"/>
    <w:rsid w:val="20AD2846"/>
    <w:rsid w:val="212542E5"/>
    <w:rsid w:val="213440A4"/>
    <w:rsid w:val="2163634F"/>
    <w:rsid w:val="21DB279B"/>
    <w:rsid w:val="227637BB"/>
    <w:rsid w:val="228264A2"/>
    <w:rsid w:val="22D94058"/>
    <w:rsid w:val="22DA614B"/>
    <w:rsid w:val="23C43A5E"/>
    <w:rsid w:val="23E16508"/>
    <w:rsid w:val="23E51D59"/>
    <w:rsid w:val="23E53198"/>
    <w:rsid w:val="243B6008"/>
    <w:rsid w:val="24567F73"/>
    <w:rsid w:val="24A97545"/>
    <w:rsid w:val="253959F5"/>
    <w:rsid w:val="257B1589"/>
    <w:rsid w:val="25834A6B"/>
    <w:rsid w:val="25A328C6"/>
    <w:rsid w:val="26E92D99"/>
    <w:rsid w:val="27435638"/>
    <w:rsid w:val="27AB0CF8"/>
    <w:rsid w:val="283C3FFF"/>
    <w:rsid w:val="288B675D"/>
    <w:rsid w:val="291462D4"/>
    <w:rsid w:val="29854768"/>
    <w:rsid w:val="2A464594"/>
    <w:rsid w:val="2A7856C4"/>
    <w:rsid w:val="2BBF07EC"/>
    <w:rsid w:val="2BCB56C9"/>
    <w:rsid w:val="2C5048C4"/>
    <w:rsid w:val="2D002CF4"/>
    <w:rsid w:val="2D97169A"/>
    <w:rsid w:val="2EA34CAE"/>
    <w:rsid w:val="2F1A5E70"/>
    <w:rsid w:val="2FD828A6"/>
    <w:rsid w:val="2FF92196"/>
    <w:rsid w:val="30524F81"/>
    <w:rsid w:val="310D7B6A"/>
    <w:rsid w:val="31C64DF9"/>
    <w:rsid w:val="31CC419F"/>
    <w:rsid w:val="31E436A0"/>
    <w:rsid w:val="31FF1F9B"/>
    <w:rsid w:val="327256B3"/>
    <w:rsid w:val="32971BE5"/>
    <w:rsid w:val="329B326B"/>
    <w:rsid w:val="33004441"/>
    <w:rsid w:val="33697EB9"/>
    <w:rsid w:val="338269AE"/>
    <w:rsid w:val="33952D03"/>
    <w:rsid w:val="33D96DD3"/>
    <w:rsid w:val="34A56B87"/>
    <w:rsid w:val="350916F3"/>
    <w:rsid w:val="35883ADD"/>
    <w:rsid w:val="35E166D9"/>
    <w:rsid w:val="35FA0CC8"/>
    <w:rsid w:val="36FF669C"/>
    <w:rsid w:val="3719CC17"/>
    <w:rsid w:val="3777142E"/>
    <w:rsid w:val="37AD42D8"/>
    <w:rsid w:val="398C5D56"/>
    <w:rsid w:val="3A914865"/>
    <w:rsid w:val="3BCD7B58"/>
    <w:rsid w:val="3C3347A4"/>
    <w:rsid w:val="3D9B7950"/>
    <w:rsid w:val="3DA726CB"/>
    <w:rsid w:val="3E74076D"/>
    <w:rsid w:val="3E9745D4"/>
    <w:rsid w:val="3EA2644E"/>
    <w:rsid w:val="3EBF0F50"/>
    <w:rsid w:val="3ED93AB9"/>
    <w:rsid w:val="3EDF3E3D"/>
    <w:rsid w:val="3F246B78"/>
    <w:rsid w:val="3FB844E4"/>
    <w:rsid w:val="40503558"/>
    <w:rsid w:val="40C210E0"/>
    <w:rsid w:val="40DA5DDD"/>
    <w:rsid w:val="41616A97"/>
    <w:rsid w:val="4259314C"/>
    <w:rsid w:val="428C73BA"/>
    <w:rsid w:val="42CE388C"/>
    <w:rsid w:val="434E144B"/>
    <w:rsid w:val="43AE5A7B"/>
    <w:rsid w:val="43EF3D11"/>
    <w:rsid w:val="44611303"/>
    <w:rsid w:val="44806287"/>
    <w:rsid w:val="44C26CDC"/>
    <w:rsid w:val="44C67E0D"/>
    <w:rsid w:val="454238EC"/>
    <w:rsid w:val="45D41958"/>
    <w:rsid w:val="4668099E"/>
    <w:rsid w:val="470A0059"/>
    <w:rsid w:val="47AE4E24"/>
    <w:rsid w:val="47D621B3"/>
    <w:rsid w:val="48D2315C"/>
    <w:rsid w:val="491D692C"/>
    <w:rsid w:val="498A70E2"/>
    <w:rsid w:val="498C6E26"/>
    <w:rsid w:val="49DC243C"/>
    <w:rsid w:val="4A9D3AFE"/>
    <w:rsid w:val="4AD62DF5"/>
    <w:rsid w:val="4B02256C"/>
    <w:rsid w:val="4C211E08"/>
    <w:rsid w:val="4C834DA2"/>
    <w:rsid w:val="4CB617CD"/>
    <w:rsid w:val="4D023A40"/>
    <w:rsid w:val="4DC57125"/>
    <w:rsid w:val="4E37157B"/>
    <w:rsid w:val="4E532747"/>
    <w:rsid w:val="4E565DC0"/>
    <w:rsid w:val="4E676CA7"/>
    <w:rsid w:val="4E946885"/>
    <w:rsid w:val="4EDB50CB"/>
    <w:rsid w:val="4F2238C1"/>
    <w:rsid w:val="4F3D450C"/>
    <w:rsid w:val="4FA848C4"/>
    <w:rsid w:val="506D44FF"/>
    <w:rsid w:val="507D636C"/>
    <w:rsid w:val="50CB1482"/>
    <w:rsid w:val="50D12DDD"/>
    <w:rsid w:val="51392D8B"/>
    <w:rsid w:val="51ED1412"/>
    <w:rsid w:val="52193B5C"/>
    <w:rsid w:val="522011A7"/>
    <w:rsid w:val="525A370E"/>
    <w:rsid w:val="527868F5"/>
    <w:rsid w:val="52955659"/>
    <w:rsid w:val="52CF2E97"/>
    <w:rsid w:val="53005249"/>
    <w:rsid w:val="53D93DB0"/>
    <w:rsid w:val="55806F71"/>
    <w:rsid w:val="55AB51AE"/>
    <w:rsid w:val="55F6156E"/>
    <w:rsid w:val="56005409"/>
    <w:rsid w:val="560E2D15"/>
    <w:rsid w:val="5766640D"/>
    <w:rsid w:val="587F5E00"/>
    <w:rsid w:val="58B7385C"/>
    <w:rsid w:val="592D2CA9"/>
    <w:rsid w:val="5A143353"/>
    <w:rsid w:val="5A1D21CA"/>
    <w:rsid w:val="5A7E4F22"/>
    <w:rsid w:val="5A8C1DED"/>
    <w:rsid w:val="5ACF1DFD"/>
    <w:rsid w:val="5AFC0E99"/>
    <w:rsid w:val="5B6A2622"/>
    <w:rsid w:val="5C21537F"/>
    <w:rsid w:val="5C2402E3"/>
    <w:rsid w:val="5C624486"/>
    <w:rsid w:val="5CA34F80"/>
    <w:rsid w:val="5DEA6A50"/>
    <w:rsid w:val="5F440C5C"/>
    <w:rsid w:val="5F4F4FBD"/>
    <w:rsid w:val="603555A0"/>
    <w:rsid w:val="609D6BA2"/>
    <w:rsid w:val="60B4103D"/>
    <w:rsid w:val="60CF56D1"/>
    <w:rsid w:val="60E631D9"/>
    <w:rsid w:val="61E84515"/>
    <w:rsid w:val="621A0212"/>
    <w:rsid w:val="62AF66E1"/>
    <w:rsid w:val="62B43FB1"/>
    <w:rsid w:val="62BB432A"/>
    <w:rsid w:val="62E172E9"/>
    <w:rsid w:val="63384F06"/>
    <w:rsid w:val="6433103F"/>
    <w:rsid w:val="643F5B99"/>
    <w:rsid w:val="650C38BA"/>
    <w:rsid w:val="6562231F"/>
    <w:rsid w:val="65C8205C"/>
    <w:rsid w:val="661D7D96"/>
    <w:rsid w:val="66A527CE"/>
    <w:rsid w:val="679B57FF"/>
    <w:rsid w:val="67C22D5A"/>
    <w:rsid w:val="689B1DFF"/>
    <w:rsid w:val="69037F93"/>
    <w:rsid w:val="694E2EA6"/>
    <w:rsid w:val="69A8225C"/>
    <w:rsid w:val="6A1B512D"/>
    <w:rsid w:val="6A6B3368"/>
    <w:rsid w:val="6B7BE1F4"/>
    <w:rsid w:val="6B9C20AF"/>
    <w:rsid w:val="6BB53FB9"/>
    <w:rsid w:val="6C1D2C09"/>
    <w:rsid w:val="6CEF324A"/>
    <w:rsid w:val="6D0A27B4"/>
    <w:rsid w:val="6D104697"/>
    <w:rsid w:val="6DD6461F"/>
    <w:rsid w:val="6E871F3B"/>
    <w:rsid w:val="6F0A6529"/>
    <w:rsid w:val="6F27512D"/>
    <w:rsid w:val="6F6E645D"/>
    <w:rsid w:val="6F90449E"/>
    <w:rsid w:val="704608AD"/>
    <w:rsid w:val="70EB6973"/>
    <w:rsid w:val="71AF5535"/>
    <w:rsid w:val="71BA4B3D"/>
    <w:rsid w:val="721F6EB8"/>
    <w:rsid w:val="72384B03"/>
    <w:rsid w:val="72470625"/>
    <w:rsid w:val="725D5B86"/>
    <w:rsid w:val="738D6119"/>
    <w:rsid w:val="73C12534"/>
    <w:rsid w:val="74C740D7"/>
    <w:rsid w:val="74DE2B3C"/>
    <w:rsid w:val="75150138"/>
    <w:rsid w:val="752A54EF"/>
    <w:rsid w:val="754644D6"/>
    <w:rsid w:val="75DA7011"/>
    <w:rsid w:val="7602209A"/>
    <w:rsid w:val="76FD7759"/>
    <w:rsid w:val="774E3C54"/>
    <w:rsid w:val="777C7A05"/>
    <w:rsid w:val="779C69B1"/>
    <w:rsid w:val="77C72B1F"/>
    <w:rsid w:val="77DF9E4A"/>
    <w:rsid w:val="77E207B3"/>
    <w:rsid w:val="781E507A"/>
    <w:rsid w:val="78216B09"/>
    <w:rsid w:val="7A831A60"/>
    <w:rsid w:val="7AB074F3"/>
    <w:rsid w:val="7AB70B14"/>
    <w:rsid w:val="7B1417E3"/>
    <w:rsid w:val="7B1B50E2"/>
    <w:rsid w:val="7B1F3DF0"/>
    <w:rsid w:val="7D7358D6"/>
    <w:rsid w:val="7D8C2F64"/>
    <w:rsid w:val="7ED0840E"/>
    <w:rsid w:val="7F9F6E77"/>
    <w:rsid w:val="99DD3A9D"/>
    <w:rsid w:val="A9FF4314"/>
    <w:rsid w:val="FE6F4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adjustRightInd w:val="0"/>
      <w:snapToGrid w:val="0"/>
      <w:spacing w:beforeLines="50" w:afterLines="50" w:line="300" w:lineRule="auto"/>
      <w:outlineLvl w:val="0"/>
    </w:pPr>
    <w:rPr>
      <w:rFonts w:ascii="Times New Roman" w:hAnsi="Times New Roman" w:eastAsia="黑体"/>
      <w:bCs/>
      <w:kern w:val="44"/>
      <w:sz w:val="32"/>
      <w:szCs w:val="44"/>
    </w:rPr>
  </w:style>
  <w:style w:type="paragraph" w:styleId="4">
    <w:name w:val="heading 2"/>
    <w:basedOn w:val="1"/>
    <w:next w:val="1"/>
    <w:unhideWhenUsed/>
    <w:qFormat/>
    <w:uiPriority w:val="0"/>
    <w:pPr>
      <w:keepNext/>
      <w:keepLines/>
      <w:adjustRightInd w:val="0"/>
      <w:snapToGrid w:val="0"/>
      <w:spacing w:beforeLines="50" w:afterLines="50" w:line="300" w:lineRule="auto"/>
      <w:outlineLvl w:val="1"/>
    </w:pPr>
    <w:rPr>
      <w:rFonts w:ascii="Times New Roman" w:hAnsi="Times New Roman" w:eastAsia="黑体" w:cs="Times New Roman"/>
      <w:bCs/>
      <w:sz w:val="30"/>
      <w:szCs w:val="32"/>
    </w:rPr>
  </w:style>
  <w:style w:type="paragraph" w:styleId="5">
    <w:name w:val="heading 3"/>
    <w:basedOn w:val="1"/>
    <w:next w:val="1"/>
    <w:link w:val="38"/>
    <w:unhideWhenUsed/>
    <w:qFormat/>
    <w:uiPriority w:val="0"/>
    <w:pPr>
      <w:keepNext/>
      <w:keepLines/>
      <w:adjustRightInd w:val="0"/>
      <w:snapToGrid w:val="0"/>
      <w:spacing w:beforeLines="50" w:afterLines="50" w:line="300" w:lineRule="auto"/>
      <w:outlineLvl w:val="2"/>
    </w:pPr>
    <w:rPr>
      <w:rFonts w:ascii="Times New Roman" w:hAnsi="Times New Roman" w:eastAsia="仿宋_GB2312"/>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styleId="6">
    <w:name w:val="Normal Indent"/>
    <w:basedOn w:val="1"/>
    <w:unhideWhenUsed/>
    <w:qFormat/>
    <w:uiPriority w:val="0"/>
    <w:pPr>
      <w:ind w:firstLine="420" w:firstLineChars="200"/>
    </w:pPr>
  </w:style>
  <w:style w:type="paragraph" w:styleId="7">
    <w:name w:val="annotation text"/>
    <w:basedOn w:val="1"/>
    <w:link w:val="46"/>
    <w:unhideWhenUsed/>
    <w:qFormat/>
    <w:uiPriority w:val="99"/>
    <w:pPr>
      <w:jc w:val="left"/>
    </w:pPr>
  </w:style>
  <w:style w:type="paragraph" w:styleId="8">
    <w:name w:val="toc 3"/>
    <w:basedOn w:val="1"/>
    <w:next w:val="1"/>
    <w:unhideWhenUsed/>
    <w:qFormat/>
    <w:uiPriority w:val="39"/>
    <w:pPr>
      <w:widowControl/>
      <w:spacing w:after="100" w:line="276" w:lineRule="auto"/>
      <w:ind w:left="440"/>
      <w:jc w:val="left"/>
    </w:pPr>
    <w:rPr>
      <w:kern w:val="0"/>
      <w:sz w:val="22"/>
    </w:rPr>
  </w:style>
  <w:style w:type="paragraph" w:styleId="9">
    <w:name w:val="Balloon Text"/>
    <w:basedOn w:val="1"/>
    <w:link w:val="28"/>
    <w:qFormat/>
    <w:uiPriority w:val="0"/>
    <w:rPr>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76" w:lineRule="auto"/>
      <w:jc w:val="left"/>
    </w:pPr>
    <w:rPr>
      <w:kern w:val="0"/>
      <w:sz w:val="22"/>
    </w:rPr>
  </w:style>
  <w:style w:type="paragraph" w:styleId="13">
    <w:name w:val="footnote text"/>
    <w:basedOn w:val="1"/>
    <w:semiHidden/>
    <w:qFormat/>
    <w:uiPriority w:val="0"/>
    <w:pPr>
      <w:snapToGrid w:val="0"/>
      <w:jc w:val="left"/>
    </w:pPr>
    <w:rPr>
      <w:rFonts w:ascii="Times New Roman" w:hAnsi="Times New Roman"/>
      <w:kern w:val="0"/>
      <w:sz w:val="18"/>
      <w:szCs w:val="20"/>
    </w:rPr>
  </w:style>
  <w:style w:type="paragraph" w:styleId="14">
    <w:name w:val="table of figures"/>
    <w:basedOn w:val="1"/>
    <w:next w:val="1"/>
    <w:qFormat/>
    <w:uiPriority w:val="99"/>
    <w:pPr>
      <w:ind w:left="200" w:leftChars="200" w:hanging="200" w:hangingChars="200"/>
    </w:pPr>
    <w:rPr>
      <w:rFonts w:ascii="仿宋" w:hAnsi="仿宋"/>
      <w:szCs w:val="28"/>
    </w:rPr>
  </w:style>
  <w:style w:type="paragraph" w:styleId="15">
    <w:name w:val="toc 2"/>
    <w:basedOn w:val="1"/>
    <w:next w:val="1"/>
    <w:unhideWhenUsed/>
    <w:qFormat/>
    <w:uiPriority w:val="39"/>
    <w:pPr>
      <w:widowControl/>
      <w:spacing w:after="100" w:line="276" w:lineRule="auto"/>
      <w:ind w:left="220"/>
      <w:jc w:val="left"/>
    </w:pPr>
    <w:rPr>
      <w:kern w:val="0"/>
      <w:sz w:val="22"/>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7">
    <w:name w:val="annotation subject"/>
    <w:basedOn w:val="7"/>
    <w:next w:val="7"/>
    <w:link w:val="47"/>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qFormat/>
    <w:uiPriority w:val="0"/>
    <w:rPr>
      <w:rFonts w:hint="eastAsia" w:ascii="微软雅黑" w:hAnsi="微软雅黑" w:eastAsia="微软雅黑" w:cs="微软雅黑"/>
      <w:color w:val="333333"/>
      <w:sz w:val="24"/>
      <w:szCs w:val="24"/>
      <w:u w:val="none"/>
    </w:rPr>
  </w:style>
  <w:style w:type="character" w:styleId="22">
    <w:name w:val="Hyperlink"/>
    <w:basedOn w:val="20"/>
    <w:unhideWhenUsed/>
    <w:qFormat/>
    <w:uiPriority w:val="99"/>
    <w:rPr>
      <w:color w:val="0563C1" w:themeColor="hyperlink"/>
      <w:u w:val="single"/>
    </w:rPr>
  </w:style>
  <w:style w:type="character" w:styleId="23">
    <w:name w:val="annotation reference"/>
    <w:basedOn w:val="20"/>
    <w:qFormat/>
    <w:uiPriority w:val="0"/>
    <w:rPr>
      <w:sz w:val="21"/>
      <w:szCs w:val="21"/>
    </w:rPr>
  </w:style>
  <w:style w:type="character" w:customStyle="1" w:styleId="24">
    <w:name w:val="font31"/>
    <w:basedOn w:val="20"/>
    <w:qFormat/>
    <w:uiPriority w:val="0"/>
    <w:rPr>
      <w:rFonts w:hint="default" w:ascii="Arial" w:hAnsi="Arial" w:cs="Arial"/>
      <w:color w:val="000000"/>
      <w:sz w:val="24"/>
      <w:szCs w:val="24"/>
      <w:u w:val="none"/>
    </w:rPr>
  </w:style>
  <w:style w:type="character" w:customStyle="1" w:styleId="25">
    <w:name w:val="font01"/>
    <w:basedOn w:val="20"/>
    <w:qFormat/>
    <w:uiPriority w:val="0"/>
    <w:rPr>
      <w:rFonts w:hint="eastAsia" w:ascii="宋体" w:hAnsi="宋体" w:eastAsia="宋体" w:cs="宋体"/>
      <w:color w:val="000000"/>
      <w:sz w:val="24"/>
      <w:szCs w:val="24"/>
      <w:u w:val="none"/>
    </w:rPr>
  </w:style>
  <w:style w:type="character" w:customStyle="1" w:styleId="26">
    <w:name w:val="页眉 Char"/>
    <w:basedOn w:val="20"/>
    <w:link w:val="11"/>
    <w:qFormat/>
    <w:uiPriority w:val="0"/>
    <w:rPr>
      <w:rFonts w:asciiTheme="minorHAnsi" w:hAnsiTheme="minorHAnsi" w:eastAsiaTheme="minorEastAsia" w:cstheme="minorBidi"/>
      <w:kern w:val="2"/>
      <w:sz w:val="18"/>
      <w:szCs w:val="18"/>
    </w:rPr>
  </w:style>
  <w:style w:type="character" w:customStyle="1" w:styleId="27">
    <w:name w:val="页脚 Char"/>
    <w:basedOn w:val="20"/>
    <w:link w:val="10"/>
    <w:qFormat/>
    <w:uiPriority w:val="0"/>
    <w:rPr>
      <w:rFonts w:asciiTheme="minorHAnsi" w:hAnsiTheme="minorHAnsi" w:eastAsiaTheme="minorEastAsia" w:cstheme="minorBidi"/>
      <w:kern w:val="2"/>
      <w:sz w:val="18"/>
      <w:szCs w:val="18"/>
    </w:rPr>
  </w:style>
  <w:style w:type="character" w:customStyle="1" w:styleId="28">
    <w:name w:val="批注框文本 Char"/>
    <w:basedOn w:val="20"/>
    <w:link w:val="9"/>
    <w:qFormat/>
    <w:uiPriority w:val="0"/>
    <w:rPr>
      <w:rFonts w:asciiTheme="minorHAnsi" w:hAnsiTheme="minorHAnsi" w:eastAsiaTheme="minorEastAsia" w:cstheme="minorBidi"/>
      <w:kern w:val="2"/>
      <w:sz w:val="18"/>
      <w:szCs w:val="18"/>
    </w:rPr>
  </w:style>
  <w:style w:type="paragraph" w:customStyle="1" w:styleId="29">
    <w:name w:val="表格标题"/>
    <w:basedOn w:val="1"/>
    <w:qFormat/>
    <w:uiPriority w:val="0"/>
    <w:pPr>
      <w:adjustRightInd w:val="0"/>
      <w:snapToGrid w:val="0"/>
      <w:spacing w:line="300" w:lineRule="auto"/>
      <w:jc w:val="center"/>
      <w:outlineLvl w:val="3"/>
    </w:pPr>
    <w:rPr>
      <w:rFonts w:ascii="Times New Roman" w:hAnsi="Times New Roman" w:eastAsia="黑体" w:cs="Times New Roman"/>
      <w:sz w:val="24"/>
      <w:szCs w:val="21"/>
    </w:rPr>
  </w:style>
  <w:style w:type="table" w:customStyle="1" w:styleId="30">
    <w:name w:val="网格型24"/>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
    <w:name w:val="表格内容"/>
    <w:basedOn w:val="1"/>
    <w:qFormat/>
    <w:uiPriority w:val="0"/>
    <w:pPr>
      <w:adjustRightInd w:val="0"/>
      <w:snapToGrid w:val="0"/>
    </w:pPr>
    <w:rPr>
      <w:rFonts w:ascii="Times New Roman" w:hAnsi="Times New Roman" w:eastAsia="宋体" w:cs="Times New Roman"/>
      <w:szCs w:val="21"/>
    </w:rPr>
  </w:style>
  <w:style w:type="paragraph" w:styleId="32">
    <w:name w:val="List Paragraph"/>
    <w:basedOn w:val="1"/>
    <w:qFormat/>
    <w:uiPriority w:val="34"/>
    <w:pPr>
      <w:ind w:firstLine="420" w:firstLineChars="200"/>
    </w:pPr>
  </w:style>
  <w:style w:type="paragraph" w:customStyle="1" w:styleId="33">
    <w:name w:val="表格首行"/>
    <w:basedOn w:val="34"/>
    <w:qFormat/>
    <w:uiPriority w:val="0"/>
    <w:pPr>
      <w:adjustRightInd w:val="0"/>
      <w:snapToGrid w:val="0"/>
      <w:spacing w:line="240" w:lineRule="auto"/>
      <w:jc w:val="center"/>
    </w:pPr>
    <w:rPr>
      <w:rFonts w:ascii="Times New Roman" w:hAnsi="Times New Roman" w:eastAsia="宋体"/>
      <w:b/>
      <w:sz w:val="21"/>
    </w:rPr>
  </w:style>
  <w:style w:type="paragraph" w:customStyle="1" w:styleId="34">
    <w:name w:val="样式 样式 样式 首行缩进:  2 字符 + 首行缩进:  2 字符 + 首行缩进:  2 字符"/>
    <w:basedOn w:val="1"/>
    <w:qFormat/>
    <w:uiPriority w:val="0"/>
    <w:pPr>
      <w:spacing w:line="360" w:lineRule="auto"/>
    </w:pPr>
    <w:rPr>
      <w:rFonts w:ascii="Arial" w:hAnsi="Arial" w:eastAsia="新宋体" w:cs="宋体"/>
      <w:sz w:val="24"/>
      <w:szCs w:val="20"/>
    </w:rPr>
  </w:style>
  <w:style w:type="character" w:customStyle="1" w:styleId="35">
    <w:name w:val="font41"/>
    <w:basedOn w:val="20"/>
    <w:qFormat/>
    <w:uiPriority w:val="0"/>
    <w:rPr>
      <w:rFonts w:hint="eastAsia" w:ascii="宋体" w:hAnsi="宋体" w:eastAsia="宋体" w:cs="宋体"/>
      <w:color w:val="0070C0"/>
      <w:sz w:val="22"/>
      <w:szCs w:val="22"/>
      <w:u w:val="none"/>
    </w:rPr>
  </w:style>
  <w:style w:type="character" w:customStyle="1" w:styleId="36">
    <w:name w:val="font51"/>
    <w:basedOn w:val="20"/>
    <w:qFormat/>
    <w:uiPriority w:val="0"/>
    <w:rPr>
      <w:rFonts w:hint="default" w:ascii="Times New Roman" w:hAnsi="Times New Roman" w:cs="Times New Roman"/>
      <w:color w:val="0070C0"/>
      <w:sz w:val="22"/>
      <w:szCs w:val="22"/>
      <w:u w:val="none"/>
    </w:rPr>
  </w:style>
  <w:style w:type="character" w:customStyle="1" w:styleId="37">
    <w:name w:val="font11"/>
    <w:basedOn w:val="20"/>
    <w:qFormat/>
    <w:uiPriority w:val="0"/>
    <w:rPr>
      <w:rFonts w:ascii="Arial" w:hAnsi="Arial" w:cs="Arial"/>
      <w:color w:val="000000"/>
      <w:sz w:val="20"/>
      <w:szCs w:val="20"/>
      <w:u w:val="none"/>
    </w:rPr>
  </w:style>
  <w:style w:type="character" w:customStyle="1" w:styleId="38">
    <w:name w:val="标题 3 Char"/>
    <w:basedOn w:val="20"/>
    <w:link w:val="5"/>
    <w:qFormat/>
    <w:uiPriority w:val="0"/>
    <w:rPr>
      <w:rFonts w:ascii="Times New Roman" w:hAnsi="Times New Roman" w:eastAsia="仿宋_GB2312"/>
      <w:b/>
      <w:bCs/>
      <w:sz w:val="32"/>
      <w:szCs w:val="32"/>
    </w:rPr>
  </w:style>
  <w:style w:type="paragraph" w:customStyle="1" w:styleId="39">
    <w:name w:val="WPSOffice手动目录 1"/>
    <w:qFormat/>
    <w:uiPriority w:val="0"/>
    <w:rPr>
      <w:rFonts w:ascii="Calibri" w:hAnsi="Calibri" w:eastAsia="宋体" w:cs="Times New Roman"/>
      <w:lang w:val="en-US" w:eastAsia="zh-CN" w:bidi="ar-SA"/>
    </w:rPr>
  </w:style>
  <w:style w:type="paragraph" w:customStyle="1" w:styleId="40">
    <w:name w:val="WPSOffice手动目录 2"/>
    <w:qFormat/>
    <w:uiPriority w:val="0"/>
    <w:pPr>
      <w:ind w:left="200" w:leftChars="200"/>
    </w:pPr>
    <w:rPr>
      <w:rFonts w:ascii="Calibri" w:hAnsi="Calibri" w:eastAsia="宋体" w:cs="Times New Roman"/>
      <w:lang w:val="en-US" w:eastAsia="zh-CN" w:bidi="ar-SA"/>
    </w:rPr>
  </w:style>
  <w:style w:type="paragraph" w:customStyle="1" w:styleId="41">
    <w:name w:val="WPSOffice手动目录 3"/>
    <w:qFormat/>
    <w:uiPriority w:val="0"/>
    <w:pPr>
      <w:ind w:left="400" w:leftChars="400"/>
    </w:pPr>
    <w:rPr>
      <w:rFonts w:ascii="Calibri" w:hAnsi="Calibri" w:eastAsia="宋体" w:cs="Times New Roman"/>
      <w:lang w:val="en-US" w:eastAsia="zh-CN" w:bidi="ar-SA"/>
    </w:rPr>
  </w:style>
  <w:style w:type="character" w:customStyle="1" w:styleId="42">
    <w:name w:val="dot"/>
    <w:basedOn w:val="20"/>
    <w:qFormat/>
    <w:uiPriority w:val="0"/>
  </w:style>
  <w:style w:type="character" w:customStyle="1" w:styleId="43">
    <w:name w:val="first-child"/>
    <w:basedOn w:val="20"/>
    <w:qFormat/>
    <w:uiPriority w:val="0"/>
  </w:style>
  <w:style w:type="character" w:customStyle="1" w:styleId="44">
    <w:name w:val="time"/>
    <w:basedOn w:val="20"/>
    <w:qFormat/>
    <w:uiPriority w:val="0"/>
    <w:rPr>
      <w:color w:val="999999"/>
    </w:rPr>
  </w:style>
  <w:style w:type="character" w:customStyle="1" w:styleId="45">
    <w:name w:val="layui-layer-tabnow"/>
    <w:basedOn w:val="20"/>
    <w:qFormat/>
    <w:uiPriority w:val="0"/>
    <w:rPr>
      <w:bdr w:val="single" w:color="CCCCCC" w:sz="6" w:space="0"/>
      <w:shd w:val="clear" w:color="auto" w:fill="FFFFFF"/>
    </w:rPr>
  </w:style>
  <w:style w:type="character" w:customStyle="1" w:styleId="46">
    <w:name w:val="批注文字 Char"/>
    <w:basedOn w:val="20"/>
    <w:link w:val="7"/>
    <w:qFormat/>
    <w:uiPriority w:val="99"/>
    <w:rPr>
      <w:rFonts w:asciiTheme="minorHAnsi" w:hAnsiTheme="minorHAnsi" w:eastAsiaTheme="minorEastAsia" w:cstheme="minorBidi"/>
      <w:kern w:val="2"/>
      <w:sz w:val="21"/>
      <w:szCs w:val="24"/>
    </w:rPr>
  </w:style>
  <w:style w:type="character" w:customStyle="1" w:styleId="47">
    <w:name w:val="批注主题 Char"/>
    <w:basedOn w:val="46"/>
    <w:link w:val="17"/>
    <w:qFormat/>
    <w:uiPriority w:val="0"/>
    <w:rPr>
      <w:rFonts w:asciiTheme="minorHAnsi" w:hAnsiTheme="minorHAnsi" w:eastAsiaTheme="minorEastAsia" w:cstheme="minorBidi"/>
      <w:b/>
      <w:bCs/>
      <w:kern w:val="2"/>
      <w:sz w:val="21"/>
      <w:szCs w:val="24"/>
    </w:rPr>
  </w:style>
  <w:style w:type="table" w:customStyle="1" w:styleId="48">
    <w:name w:val="网格型1"/>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
    <w:name w:val="网格型241"/>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51">
    <w:name w:val="TOC 标题1"/>
    <w:basedOn w:val="3"/>
    <w:next w:val="1"/>
    <w:unhideWhenUsed/>
    <w:qFormat/>
    <w:uiPriority w:val="39"/>
    <w:pPr>
      <w:widowControl/>
      <w:adjustRightInd/>
      <w:snapToGrid/>
      <w:spacing w:beforeLines="0" w:afterLines="0" w:line="259" w:lineRule="auto"/>
      <w:jc w:val="left"/>
      <w:outlineLvl w:val="9"/>
    </w:pPr>
    <w:rPr>
      <w:rFonts w:asciiTheme="majorHAnsi" w:hAnsiTheme="majorHAnsi" w:eastAsiaTheme="majorEastAsia" w:cstheme="majorBidi"/>
      <w:bCs w:val="0"/>
      <w:color w:val="2E75B5"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106</Pages>
  <Words>13022</Words>
  <Characters>74232</Characters>
  <Lines>618</Lines>
  <Paragraphs>174</Paragraphs>
  <TotalTime>2</TotalTime>
  <ScaleCrop>false</ScaleCrop>
  <LinksUpToDate>false</LinksUpToDate>
  <CharactersWithSpaces>87080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2021-04-02T11:40:00Z</dcterms:created>
  <dc:creator>何玉霜; 雷冬雪</dc:creator>
  <cp:lastModifiedBy>gxxc</cp:lastModifiedBy>
  <dcterms:modified xsi:type="dcterms:W3CDTF">2022-01-11T14:39:42Z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CABDE7F1571449B6B2F7AA35EFEA16FE</vt:lpwstr>
  </property>
</Properties>
</file>