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2"/>
          <w:szCs w:val="32"/>
          <w:lang w:val="zh-CN"/>
        </w:rPr>
      </w:pPr>
      <w:bookmarkStart w:id="0" w:name="_Hlk55900130"/>
      <w:r>
        <w:rPr>
          <w:rFonts w:hint="eastAsia" w:ascii="黑体" w:hAnsi="黑体" w:eastAsia="黑体" w:cs="黑体"/>
          <w:sz w:val="28"/>
          <w:szCs w:val="28"/>
          <w:lang w:val="zh-CN"/>
        </w:rPr>
        <w:t>附件</w:t>
      </w:r>
      <w:r>
        <w:rPr>
          <w:rFonts w:hint="default" w:ascii="黑体" w:hAnsi="黑体" w:eastAsia="黑体" w:cs="黑体"/>
          <w:sz w:val="28"/>
          <w:szCs w:val="28"/>
          <w:lang w:val="en"/>
        </w:rPr>
        <w:t>2</w:t>
      </w:r>
      <w:r>
        <w:rPr>
          <w:rFonts w:hint="eastAsia" w:ascii="方正小标宋简体" w:eastAsia="方正小标宋简体"/>
          <w:sz w:val="32"/>
          <w:szCs w:val="32"/>
          <w:lang w:val="zh-CN"/>
        </w:rPr>
        <w:t xml:space="preserve">  </w:t>
      </w:r>
    </w:p>
    <w:p>
      <w:pPr>
        <w:ind w:firstLine="1600" w:firstLineChars="500"/>
        <w:rPr>
          <w:rFonts w:ascii="方正小标宋简体" w:eastAsia="方正小标宋简体"/>
          <w:sz w:val="32"/>
          <w:szCs w:val="32"/>
          <w:lang w:val="zh-CN"/>
        </w:rPr>
      </w:pPr>
      <w:r>
        <w:rPr>
          <w:rFonts w:hint="eastAsia" w:ascii="方正小标宋简体" w:eastAsia="方正小标宋简体"/>
          <w:sz w:val="32"/>
          <w:szCs w:val="32"/>
          <w:lang w:val="zh-CN"/>
        </w:rPr>
        <w:t>对雷电灾害防御工作的行政检查记录表</w:t>
      </w:r>
    </w:p>
    <w:bookmarkEnd w:id="0"/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2"/>
        <w:gridCol w:w="2269"/>
        <w:gridCol w:w="1853"/>
        <w:gridCol w:w="169"/>
        <w:gridCol w:w="1237"/>
        <w:gridCol w:w="2080"/>
      </w:tblGrid>
      <w:tr>
        <w:trPr>
          <w:trHeight w:val="606" w:hRule="exact"/>
          <w:jc w:val="center"/>
        </w:trPr>
        <w:tc>
          <w:tcPr>
            <w:tcW w:w="1572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检查时间</w:t>
            </w:r>
          </w:p>
        </w:tc>
        <w:tc>
          <w:tcPr>
            <w:tcW w:w="7608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178"/>
                <w:tab w:val="left" w:pos="1634"/>
                <w:tab w:val="left" w:pos="3480"/>
                <w:tab w:val="left" w:pos="4187"/>
              </w:tabs>
              <w:spacing w:line="300" w:lineRule="exact"/>
              <w:ind w:firstLine="640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年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ab/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月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ab/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日 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时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分至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ab/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日 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时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ab/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被检查单位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名称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eastAsia="en-US" w:bidi="en-US"/>
              </w:rPr>
            </w:pPr>
          </w:p>
        </w:tc>
      </w:tr>
      <w:tr>
        <w:trPr>
          <w:trHeight w:val="650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法定代表人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</w:tr>
      <w:tr>
        <w:trPr>
          <w:trHeight w:val="625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联系人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eastAsia="en-US" w:bidi="en-US"/>
              </w:rPr>
            </w:pPr>
            <w:bookmarkStart w:id="1" w:name="_GoBack"/>
            <w:bookmarkEnd w:id="1"/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联系电话/手机</w:t>
            </w: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地址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、邮编</w:t>
            </w:r>
          </w:p>
        </w:tc>
        <w:tc>
          <w:tcPr>
            <w:tcW w:w="42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360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color w:val="000000"/>
                <w:szCs w:val="21"/>
                <w:lang w:bidi="zh-CN"/>
              </w:rPr>
              <w:t>电子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邮箱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ind w:firstLine="360"/>
              <w:jc w:val="lef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项目/场所名称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1834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所属领域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□油库、气库、弹药库、化学品仓库和烟花爆竹、石化等易燃易爆建设工程和场所</w:t>
            </w:r>
          </w:p>
          <w:p>
            <w:pPr>
              <w:widowControl/>
              <w:spacing w:line="400" w:lineRule="exact"/>
              <w:ind w:left="210" w:hanging="210" w:hanging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□雷电易发区内的矿区、旅游景点或者投入使用的建（构）筑物、设施等需要单独安装雷电防护装置的场所</w:t>
            </w:r>
          </w:p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□雷电风险高且没有国家防雷标准规范、需要进行特殊论证的大型项目</w:t>
            </w:r>
          </w:p>
        </w:tc>
      </w:tr>
      <w:tr>
        <w:trPr>
          <w:trHeight w:val="726" w:hRule="exact"/>
          <w:jc w:val="center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zh-CN" w:bidi="zh-CN"/>
              </w:rPr>
              <w:t>防雷安全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zh-CN" w:bidi="zh-CN"/>
              </w:rPr>
              <w:t>管理情况</w:t>
            </w: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Arial"/>
                <w:szCs w:val="21"/>
                <w:lang w:val="zh-CN" w:bidi="zh-CN"/>
              </w:rPr>
              <w:t>是否具有防雷安全管理工作机构</w:t>
            </w:r>
            <w:r>
              <w:rPr>
                <w:rFonts w:hint="eastAsia" w:ascii="宋体" w:hAnsi="宋体" w:cs="Arial"/>
                <w:szCs w:val="21"/>
                <w:lang w:val="zh-CN" w:bidi="zh-CN"/>
              </w:rPr>
              <w:t>，</w:t>
            </w:r>
            <w:r>
              <w:rPr>
                <w:rFonts w:ascii="宋体" w:hAnsi="宋体" w:cs="Arial"/>
                <w:szCs w:val="21"/>
                <w:lang w:val="zh-CN" w:bidi="zh-CN"/>
              </w:rPr>
              <w:t>并明确防雷安全管理职责</w:t>
            </w:r>
            <w:r>
              <w:rPr>
                <w:rFonts w:hint="eastAsia" w:ascii="宋体" w:hAnsi="宋体" w:cs="Arial"/>
                <w:szCs w:val="21"/>
                <w:lang w:val="zh-CN" w:bidi="zh-CN"/>
              </w:rPr>
              <w:t xml:space="preserve">  </w:t>
            </w:r>
            <w:r>
              <w:rPr>
                <w:rFonts w:ascii="Wingdings 2" w:hAnsi="Wingdings 2" w:cs="MingLiU"/>
                <w:color w:val="000000"/>
                <w:szCs w:val="21"/>
                <w:lang w:bidi="zh-CN"/>
              </w:rPr>
              <w:sym w:font="Wingdings 2" w:char="F0A3"/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是否建立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防雷安全责任制</w:t>
            </w:r>
            <w:r>
              <w:rPr>
                <w:rFonts w:hint="eastAsia" w:ascii="宋体" w:hAnsi="宋体" w:cs="MingLiU"/>
                <w:color w:val="000000"/>
                <w:szCs w:val="21"/>
                <w:lang w:bidi="zh-CN"/>
              </w:rPr>
              <w:t xml:space="preserve">  </w:t>
            </w:r>
            <w:r>
              <w:rPr>
                <w:rFonts w:ascii="Wingdings 2" w:hAnsi="Wingdings 2" w:cs="MingLiU"/>
                <w:color w:val="000000"/>
                <w:szCs w:val="21"/>
                <w:lang w:bidi="zh-CN"/>
              </w:rPr>
              <w:sym w:font="Wingdings 2" w:char="F0A3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exact"/>
          <w:jc w:val="center"/>
        </w:trPr>
        <w:tc>
          <w:tcPr>
            <w:tcW w:w="1572" w:type="dxa"/>
            <w:vMerge w:val="continue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是否开展防雷安全隐患排查工作</w:t>
            </w:r>
            <w:r>
              <w:rPr>
                <w:rFonts w:hint="eastAsia" w:ascii="宋体" w:hAnsi="宋体" w:cs="MingLiU"/>
                <w:color w:val="000000"/>
                <w:szCs w:val="21"/>
                <w:lang w:bidi="zh-CN"/>
              </w:rPr>
              <w:t xml:space="preserve"> 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□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是否开展防雷安全教育培训工作</w:t>
            </w:r>
            <w:r>
              <w:rPr>
                <w:rFonts w:hint="eastAsia" w:ascii="宋体" w:hAnsi="宋体" w:cs="MingLiU"/>
                <w:color w:val="000000"/>
                <w:szCs w:val="21"/>
                <w:lang w:bidi="zh-CN"/>
              </w:rPr>
              <w:t xml:space="preserve">  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9" w:hRule="exact"/>
          <w:jc w:val="center"/>
        </w:trPr>
        <w:tc>
          <w:tcPr>
            <w:tcW w:w="1572" w:type="dxa"/>
            <w:vMerge w:val="continue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是否建立有效预警信息接收和响应机制</w:t>
            </w:r>
            <w:r>
              <w:rPr>
                <w:rFonts w:hint="eastAsia" w:ascii="宋体" w:hAnsi="宋体" w:cs="MingLiU"/>
                <w:color w:val="000000"/>
                <w:szCs w:val="21"/>
                <w:lang w:bidi="zh-CN"/>
              </w:rPr>
              <w:t xml:space="preserve">  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□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Arial"/>
                <w:szCs w:val="21"/>
                <w:lang w:val="zh-CN" w:bidi="zh-CN"/>
              </w:rPr>
              <w:t>是否具有雷电灾害应急预案</w:t>
            </w:r>
            <w:r>
              <w:rPr>
                <w:rFonts w:hint="eastAsia" w:ascii="宋体" w:hAnsi="宋体" w:cs="Arial"/>
                <w:szCs w:val="21"/>
                <w:lang w:val="zh-CN" w:bidi="zh-CN"/>
              </w:rPr>
              <w:t>，</w:t>
            </w:r>
            <w:r>
              <w:rPr>
                <w:rFonts w:ascii="宋体" w:hAnsi="宋体" w:cs="Arial"/>
                <w:szCs w:val="21"/>
                <w:lang w:val="zh-CN" w:bidi="zh-CN"/>
              </w:rPr>
              <w:t>并组织演练</w:t>
            </w:r>
            <w:r>
              <w:rPr>
                <w:rFonts w:hint="eastAsia" w:ascii="宋体" w:hAnsi="宋体" w:cs="Arial"/>
                <w:szCs w:val="21"/>
                <w:lang w:val="zh-CN" w:bidi="zh-CN"/>
              </w:rPr>
              <w:t xml:space="preserve">  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□</w:t>
            </w:r>
          </w:p>
        </w:tc>
      </w:tr>
      <w:tr>
        <w:trPr>
          <w:trHeight w:val="656" w:hRule="exact"/>
          <w:jc w:val="center"/>
        </w:trPr>
        <w:tc>
          <w:tcPr>
            <w:tcW w:w="1572" w:type="dxa"/>
            <w:vMerge w:val="continue"/>
            <w:tcBorders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是否建立</w:t>
            </w:r>
            <w:r>
              <w:rPr>
                <w:rFonts w:hint="eastAsia" w:ascii="宋体" w:hAnsi="宋体" w:cs="MingLiU"/>
                <w:color w:val="000000"/>
                <w:szCs w:val="21"/>
                <w:lang w:bidi="zh-CN"/>
              </w:rPr>
              <w:t>雷电防护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装置安全性能定期检测制度</w:t>
            </w:r>
            <w:r>
              <w:rPr>
                <w:rFonts w:hint="eastAsia" w:ascii="宋体" w:hAnsi="宋体" w:cs="MingLiU"/>
                <w:color w:val="000000"/>
                <w:szCs w:val="21"/>
                <w:lang w:bidi="zh-CN"/>
              </w:rPr>
              <w:t xml:space="preserve">  </w:t>
            </w:r>
            <w:r>
              <w:rPr>
                <w:rFonts w:ascii="Wingdings 2" w:hAnsi="Wingdings 2" w:cs="MingLiU"/>
                <w:color w:val="000000"/>
                <w:szCs w:val="21"/>
                <w:lang w:bidi="zh-CN"/>
              </w:rPr>
              <w:sym w:font="Wingdings 2" w:char="F0A3"/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是否建立防雷安全工作档案</w:t>
            </w:r>
            <w:r>
              <w:rPr>
                <w:rFonts w:hint="eastAsia" w:ascii="宋体" w:hAnsi="宋体" w:cs="MingLiU"/>
                <w:color w:val="000000"/>
                <w:szCs w:val="21"/>
                <w:lang w:bidi="zh-CN"/>
              </w:rPr>
              <w:t xml:space="preserve">  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□</w:t>
            </w:r>
          </w:p>
        </w:tc>
      </w:tr>
      <w:tr>
        <w:trPr>
          <w:trHeight w:val="452" w:hRule="exact"/>
          <w:jc w:val="center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检查场所雷电灾害风险性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检查场所类别：易燃易爆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 xml:space="preserve">□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非易燃易爆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exac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场地特征：地形开阔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口 </w:t>
            </w:r>
            <w:r>
              <w:rPr>
                <w:rFonts w:hint="eastAsia" w:ascii="宋体" w:hAnsi="宋体" w:cs="MingLiU"/>
                <w:color w:val="000000"/>
                <w:szCs w:val="21"/>
                <w:lang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平坦无遮阳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口 </w:t>
            </w:r>
            <w:r>
              <w:rPr>
                <w:rFonts w:hint="eastAsia" w:ascii="宋体" w:hAnsi="宋体" w:cs="MingLiU"/>
                <w:color w:val="000000"/>
                <w:szCs w:val="21"/>
                <w:lang w:bidi="zh-CN"/>
              </w:rPr>
              <w:t xml:space="preserve">  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靠近水源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口  </w:t>
            </w:r>
          </w:p>
          <w:p>
            <w:pPr>
              <w:ind w:firstLine="1050" w:firstLineChars="500"/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地势较高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口 </w:t>
            </w:r>
            <w:r>
              <w:rPr>
                <w:rFonts w:hint="eastAsia" w:ascii="宋体" w:hAnsi="宋体" w:cs="MingLiU"/>
                <w:color w:val="000000"/>
                <w:szCs w:val="21"/>
                <w:lang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临近高建（构）筑物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exac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曾发生的雷电灾害情况简介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：</w:t>
            </w:r>
          </w:p>
        </w:tc>
      </w:tr>
      <w:tr>
        <w:trPr>
          <w:trHeight w:val="2258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检查场所</w:t>
            </w:r>
            <w:r>
              <w:rPr>
                <w:rFonts w:hint="eastAsia" w:ascii="宋体" w:hAnsi="宋体" w:cs="MingLiU"/>
                <w:color w:val="000000"/>
                <w:szCs w:val="21"/>
                <w:lang w:bidi="zh-CN"/>
              </w:rPr>
              <w:t>雷电防护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装置安装运行状况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1.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外部雷电防护装置情况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（可另附页）：</w:t>
            </w: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  <w:p>
            <w:pPr>
              <w:rPr>
                <w:rFonts w:ascii="宋体" w:hAnsi="宋体" w:cs="Arial"/>
                <w:szCs w:val="21"/>
                <w:lang w:val="zh-CN" w:bidi="zh-CN"/>
              </w:rPr>
            </w:pPr>
          </w:p>
        </w:tc>
      </w:tr>
      <w:tr>
        <w:trPr>
          <w:trHeight w:val="3818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检查场所</w:t>
            </w:r>
            <w:r>
              <w:rPr>
                <w:rFonts w:hint="eastAsia" w:ascii="宋体" w:hAnsi="宋体" w:cs="MingLiU"/>
                <w:color w:val="000000"/>
                <w:szCs w:val="21"/>
                <w:lang w:bidi="zh-CN"/>
              </w:rPr>
              <w:t>雷电防护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装置安装运行状况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2.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内部雷电防护装置情况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（可另附页）：</w:t>
            </w: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3.上述雷电防护装置：是否设置安全标志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   是否定期检测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口</w:t>
            </w: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定期检测的时间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：</w:t>
            </w:r>
            <w:r>
              <w:rPr>
                <w:rFonts w:hint="eastAsia" w:ascii="宋体" w:hAnsi="宋体" w:cs="MingLiU"/>
                <w:color w:val="000000"/>
                <w:szCs w:val="21"/>
                <w:u w:val="single"/>
                <w:lang w:val="zh-CN" w:bidi="zh-CN"/>
              </w:rPr>
              <w:t xml:space="preserve">     年    月    日</w:t>
            </w: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雷电防护装置检测资质单位名称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：</w:t>
            </w:r>
            <w:r>
              <w:rPr>
                <w:rFonts w:hint="eastAsia" w:ascii="宋体" w:hAnsi="宋体" w:cs="MingLiU"/>
                <w:color w:val="000000"/>
                <w:szCs w:val="21"/>
                <w:u w:val="single"/>
                <w:lang w:val="zh-CN" w:bidi="zh-CN"/>
              </w:rPr>
              <w:t xml:space="preserve">                                         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，</w:t>
            </w: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资质证号：</w:t>
            </w:r>
            <w:r>
              <w:rPr>
                <w:rFonts w:hint="eastAsia" w:ascii="宋体" w:hAnsi="宋体" w:cs="MingLiU"/>
                <w:color w:val="000000"/>
                <w:szCs w:val="21"/>
                <w:u w:val="single"/>
                <w:lang w:val="zh-CN" w:bidi="zh-CN"/>
              </w:rPr>
              <w:t xml:space="preserve">              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资质等级：</w:t>
            </w:r>
            <w:r>
              <w:rPr>
                <w:rFonts w:hint="eastAsia" w:ascii="宋体" w:hAnsi="宋体" w:cs="MingLiU"/>
                <w:color w:val="000000"/>
                <w:szCs w:val="21"/>
                <w:u w:val="single"/>
                <w:lang w:val="zh-CN" w:bidi="zh-CN"/>
              </w:rPr>
              <w:t xml:space="preserve">       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检测报告编号：</w:t>
            </w:r>
            <w:r>
              <w:rPr>
                <w:rFonts w:hint="eastAsia" w:ascii="宋体" w:hAnsi="宋体" w:cs="MingLiU"/>
                <w:color w:val="000000"/>
                <w:szCs w:val="21"/>
                <w:u w:val="single"/>
                <w:lang w:val="zh-CN" w:bidi="zh-CN"/>
              </w:rPr>
              <w:t xml:space="preserve">                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>。</w:t>
            </w:r>
          </w:p>
          <w:p>
            <w:pPr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定期检测是否合格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    是否按要求及时进行整改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0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bidi="zh-CN"/>
              </w:rPr>
            </w:pPr>
            <w:r>
              <w:rPr>
                <w:rFonts w:ascii="宋体" w:hAnsi="宋体" w:cs="Arial"/>
                <w:szCs w:val="21"/>
                <w:lang w:bidi="zh-CN"/>
              </w:rPr>
              <w:t>检查防雷安全档案管理情况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 xml:space="preserve">1.防雷安全相关制度、机制、预案是否规范、完整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口</w:t>
            </w:r>
          </w:p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 xml:space="preserve">2.是否有气象主管机构出具的《雷电防护装置设计核准意见书》和《雷电防护装置验收意见书》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口</w:t>
            </w:r>
          </w:p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 xml:space="preserve">3.定期检测、隐患排查、整改等材料是否齐全、完整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口</w:t>
            </w:r>
          </w:p>
          <w:p>
            <w:pPr>
              <w:spacing w:line="300" w:lineRule="exac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color w:val="000000"/>
                <w:szCs w:val="21"/>
                <w:lang w:val="zh-CN" w:bidi="zh-CN"/>
              </w:rPr>
              <w:t xml:space="preserve">4.是否在全国防雷减灾综合管理平台上注册并上报信息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3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spacing w:after="80"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Arial"/>
                <w:szCs w:val="21"/>
                <w:lang w:val="zh-CN" w:bidi="zh-CN"/>
              </w:rPr>
              <w:t>存在问题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spacing w:line="300" w:lineRule="exact"/>
              <w:rPr>
                <w:rFonts w:ascii="宋体" w:hAnsi="宋体" w:cs="Microsoft JhengHei Light"/>
                <w:color w:val="000000"/>
                <w:kern w:val="0"/>
                <w:szCs w:val="21"/>
                <w:lang w:val="zh-CN" w:bidi="en-US"/>
              </w:rPr>
            </w:pPr>
            <w:r>
              <w:rPr>
                <w:rFonts w:hint="eastAsia" w:ascii="宋体" w:hAnsi="宋体" w:cs="Microsoft JhengHei Light"/>
                <w:color w:val="000000"/>
                <w:kern w:val="0"/>
                <w:szCs w:val="21"/>
                <w:lang w:val="zh-CN" w:bidi="en-US"/>
              </w:rPr>
              <w:t>（汇总并详细描述具体问题）</w:t>
            </w:r>
          </w:p>
        </w:tc>
      </w:tr>
      <w:tr>
        <w:trPr>
          <w:trHeight w:val="2388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检查单位及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检查人员签章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检查人员姓名及执法证号：                    </w:t>
            </w:r>
          </w:p>
          <w:p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</w:p>
          <w:p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</w:p>
          <w:p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专业技术人员姓名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pStyle w:val="4"/>
              <w:widowControl/>
              <w:tabs>
                <w:tab w:val="left" w:pos="4905"/>
              </w:tabs>
              <w:spacing w:before="0" w:beforeAutospacing="0" w:after="0" w:afterAutospacing="0" w:line="320" w:lineRule="exact"/>
              <w:ind w:firstLine="4830" w:firstLineChars="2300"/>
              <w:jc w:val="both"/>
              <w:rPr>
                <w:sz w:val="21"/>
                <w:szCs w:val="21"/>
              </w:rPr>
            </w:pPr>
          </w:p>
          <w:p>
            <w:pPr>
              <w:pStyle w:val="4"/>
              <w:widowControl/>
              <w:tabs>
                <w:tab w:val="left" w:pos="4905"/>
              </w:tabs>
              <w:spacing w:before="0" w:beforeAutospacing="0" w:after="0" w:afterAutospacing="0" w:line="320" w:lineRule="exact"/>
              <w:ind w:firstLine="5040" w:firstLineChars="24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单位（盖章）</w:t>
            </w:r>
          </w:p>
          <w:p>
            <w:pPr>
              <w:widowControl/>
              <w:spacing w:line="320" w:lineRule="exact"/>
              <w:ind w:firstLine="5040" w:firstLineChars="24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年    月   日</w:t>
            </w:r>
          </w:p>
        </w:tc>
      </w:tr>
      <w:tr>
        <w:trPr>
          <w:trHeight w:val="1698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被检查单位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签收意见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</w:p>
          <w:p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</w:p>
          <w:p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     </w:t>
            </w:r>
          </w:p>
          <w:p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负责人签字：                                    单位（盖章）</w:t>
            </w:r>
          </w:p>
          <w:p>
            <w:pPr>
              <w:widowControl/>
              <w:spacing w:line="320" w:lineRule="exact"/>
              <w:ind w:left="28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年 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ind w:firstLine="360"/>
              <w:jc w:val="left"/>
              <w:rPr>
                <w:rFonts w:ascii="宋体" w:hAnsi="宋体" w:cs="Arial"/>
                <w:sz w:val="18"/>
                <w:szCs w:val="18"/>
                <w:lang w:bidi="zh-CN"/>
              </w:rPr>
            </w:pP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注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bidi="zh-CN"/>
              </w:rPr>
              <w:t>：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bidi="zh-CN"/>
              </w:rPr>
              <w:t>1.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bidi="zh-CN"/>
              </w:rPr>
              <w:t>□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中是打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bidi="zh-CN"/>
              </w:rPr>
              <w:t>（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bidi="zh-CN"/>
              </w:rPr>
              <w:t>√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bidi="zh-CN"/>
              </w:rPr>
              <w:t>）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val="zh-CN" w:bidi="zh-CN"/>
              </w:rPr>
              <w:t>不是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打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bidi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zh-CN"/>
              </w:rPr>
              <w:t>×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bidi="zh-CN"/>
              </w:rPr>
              <w:t>）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bidi="zh-CN"/>
              </w:rPr>
              <w:t>；2. 雷电防护装置定期检测合同、检测报告（核实原件后并提供复印件）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altName w:val="Droid Sans Japanese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Microsoft JhengHei Light">
    <w:altName w:val="方正书宋_GBK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A8"/>
    <w:rsid w:val="003D62AF"/>
    <w:rsid w:val="00C06ABD"/>
    <w:rsid w:val="00C16510"/>
    <w:rsid w:val="00CE6FA8"/>
    <w:rsid w:val="7DDEB8BF"/>
    <w:rsid w:val="F7B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194</Words>
  <Characters>1109</Characters>
  <Lines>9</Lines>
  <Paragraphs>2</Paragraphs>
  <TotalTime>2</TotalTime>
  <ScaleCrop>false</ScaleCrop>
  <LinksUpToDate>false</LinksUpToDate>
  <CharactersWithSpaces>1301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2022-03-30T21:35:00Z</dcterms:created>
  <dc:creator>李灿</dc:creator>
  <cp:lastModifiedBy>gxxc</cp:lastModifiedBy>
  <dcterms:modified xsi:type="dcterms:W3CDTF">2024-06-18T11:32:58Z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